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Look w:val="04A0" w:firstRow="1" w:lastRow="0" w:firstColumn="1" w:lastColumn="0" w:noHBand="0" w:noVBand="1"/>
      </w:tblPr>
      <w:tblGrid>
        <w:gridCol w:w="236"/>
        <w:gridCol w:w="4377"/>
        <w:gridCol w:w="1985"/>
        <w:gridCol w:w="3036"/>
      </w:tblGrid>
      <w:tr w:rsidR="00651381" w14:paraId="0FAC428C" w14:textId="77777777">
        <w:trPr>
          <w:trHeight w:val="627"/>
          <w:jc w:val="center"/>
        </w:trPr>
        <w:tc>
          <w:tcPr>
            <w:tcW w:w="236" w:type="dxa"/>
            <w:vMerge w:val="restart"/>
            <w:tcBorders>
              <w:right w:val="single" w:sz="4" w:space="0" w:color="auto"/>
            </w:tcBorders>
            <w:vAlign w:val="center"/>
          </w:tcPr>
          <w:p w14:paraId="53AEAFF7" w14:textId="77777777" w:rsidR="00651381" w:rsidRDefault="00651381"/>
        </w:tc>
        <w:tc>
          <w:tcPr>
            <w:tcW w:w="4377" w:type="dxa"/>
            <w:vMerge w:val="restart"/>
            <w:tcBorders>
              <w:top w:val="single" w:sz="4" w:space="0" w:color="auto"/>
              <w:left w:val="single" w:sz="4" w:space="0" w:color="auto"/>
              <w:right w:val="single" w:sz="4" w:space="0" w:color="auto"/>
            </w:tcBorders>
            <w:vAlign w:val="center"/>
          </w:tcPr>
          <w:p w14:paraId="6FA17DE7" w14:textId="77777777" w:rsidR="00651381" w:rsidRDefault="00000000">
            <w:pPr>
              <w:jc w:val="center"/>
            </w:pPr>
            <w:r>
              <w:rPr>
                <w:rFonts w:ascii="华文中宋" w:eastAsia="华文中宋" w:hAnsi="华文中宋"/>
                <w:b/>
                <w:noProof/>
                <w:color w:val="000000"/>
                <w:sz w:val="72"/>
                <w:szCs w:val="72"/>
              </w:rPr>
              <w:drawing>
                <wp:inline distT="0" distB="0" distL="114300" distR="114300" wp14:anchorId="6D3B7B70" wp14:editId="1DFB611D">
                  <wp:extent cx="1765300" cy="697230"/>
                  <wp:effectExtent l="0" t="0" r="6350" b="7620"/>
                  <wp:docPr id="1" name="图片 1" descr="C:\Users\Administrato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LOGO.png"/>
                          <pic:cNvPicPr>
                            <a:picLocks noChangeAspect="1"/>
                          </pic:cNvPicPr>
                        </pic:nvPicPr>
                        <pic:blipFill>
                          <a:blip r:embed="rId6"/>
                          <a:stretch>
                            <a:fillRect/>
                          </a:stretch>
                        </pic:blipFill>
                        <pic:spPr>
                          <a:xfrm>
                            <a:off x="0" y="0"/>
                            <a:ext cx="1765300" cy="69723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21680BB1" w14:textId="77777777" w:rsidR="00651381" w:rsidRDefault="00000000">
            <w:pPr>
              <w:jc w:val="distribute"/>
            </w:pPr>
            <w:r>
              <w:rPr>
                <w:rFonts w:hint="eastAsia"/>
              </w:rPr>
              <w:t>文件编号：</w:t>
            </w:r>
          </w:p>
        </w:tc>
        <w:tc>
          <w:tcPr>
            <w:tcW w:w="3036" w:type="dxa"/>
            <w:tcBorders>
              <w:top w:val="single" w:sz="4" w:space="0" w:color="auto"/>
              <w:left w:val="single" w:sz="4" w:space="0" w:color="auto"/>
              <w:bottom w:val="single" w:sz="4" w:space="0" w:color="auto"/>
              <w:right w:val="single" w:sz="4" w:space="0" w:color="auto"/>
            </w:tcBorders>
            <w:vAlign w:val="center"/>
          </w:tcPr>
          <w:p w14:paraId="2F955A0C" w14:textId="77777777" w:rsidR="00651381" w:rsidRDefault="00000000">
            <w:pPr>
              <w:jc w:val="center"/>
            </w:pPr>
            <w:r>
              <w:rPr>
                <w:rFonts w:hint="eastAsia"/>
              </w:rPr>
              <w:t>OUCE-QMS-A01</w:t>
            </w:r>
          </w:p>
        </w:tc>
      </w:tr>
      <w:tr w:rsidR="00651381" w14:paraId="1AE78843" w14:textId="77777777">
        <w:trPr>
          <w:trHeight w:val="366"/>
          <w:jc w:val="center"/>
        </w:trPr>
        <w:tc>
          <w:tcPr>
            <w:tcW w:w="236" w:type="dxa"/>
            <w:vMerge/>
            <w:tcBorders>
              <w:right w:val="single" w:sz="4" w:space="0" w:color="auto"/>
            </w:tcBorders>
            <w:vAlign w:val="center"/>
          </w:tcPr>
          <w:p w14:paraId="5E81B393" w14:textId="77777777" w:rsidR="00651381" w:rsidRDefault="00651381">
            <w:pPr>
              <w:jc w:val="center"/>
            </w:pPr>
          </w:p>
        </w:tc>
        <w:tc>
          <w:tcPr>
            <w:tcW w:w="4377" w:type="dxa"/>
            <w:vMerge/>
            <w:tcBorders>
              <w:left w:val="single" w:sz="4" w:space="0" w:color="auto"/>
              <w:right w:val="single" w:sz="4" w:space="0" w:color="auto"/>
            </w:tcBorders>
            <w:vAlign w:val="center"/>
          </w:tcPr>
          <w:p w14:paraId="30D2E984" w14:textId="77777777" w:rsidR="00651381" w:rsidRDefault="00651381">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26554200" w14:textId="77777777" w:rsidR="00651381" w:rsidRDefault="00000000">
            <w:pPr>
              <w:jc w:val="distribute"/>
            </w:pPr>
            <w:r>
              <w:rPr>
                <w:rFonts w:hint="eastAsia"/>
              </w:rPr>
              <w:t>版本号：</w:t>
            </w:r>
          </w:p>
        </w:tc>
        <w:tc>
          <w:tcPr>
            <w:tcW w:w="3036" w:type="dxa"/>
            <w:tcBorders>
              <w:top w:val="single" w:sz="4" w:space="0" w:color="auto"/>
              <w:left w:val="single" w:sz="4" w:space="0" w:color="auto"/>
              <w:bottom w:val="single" w:sz="4" w:space="0" w:color="auto"/>
              <w:right w:val="single" w:sz="4" w:space="0" w:color="auto"/>
            </w:tcBorders>
            <w:vAlign w:val="center"/>
          </w:tcPr>
          <w:p w14:paraId="2FD1B3B2" w14:textId="77777777" w:rsidR="00651381" w:rsidRDefault="00000000">
            <w:pPr>
              <w:jc w:val="center"/>
              <w:rPr>
                <w:rFonts w:eastAsia="宋体"/>
              </w:rPr>
            </w:pPr>
            <w:r>
              <w:rPr>
                <w:rFonts w:hint="eastAsia"/>
              </w:rPr>
              <w:t>A/1</w:t>
            </w:r>
          </w:p>
        </w:tc>
      </w:tr>
      <w:tr w:rsidR="00651381" w14:paraId="745C65FA" w14:textId="77777777">
        <w:trPr>
          <w:trHeight w:val="456"/>
          <w:jc w:val="center"/>
        </w:trPr>
        <w:tc>
          <w:tcPr>
            <w:tcW w:w="236" w:type="dxa"/>
            <w:vMerge/>
            <w:tcBorders>
              <w:right w:val="single" w:sz="4" w:space="0" w:color="auto"/>
            </w:tcBorders>
            <w:vAlign w:val="center"/>
          </w:tcPr>
          <w:p w14:paraId="3F632897" w14:textId="77777777" w:rsidR="00651381" w:rsidRDefault="00651381">
            <w:pPr>
              <w:jc w:val="center"/>
            </w:pPr>
          </w:p>
        </w:tc>
        <w:tc>
          <w:tcPr>
            <w:tcW w:w="4377" w:type="dxa"/>
            <w:vMerge/>
            <w:tcBorders>
              <w:left w:val="single" w:sz="4" w:space="0" w:color="auto"/>
              <w:bottom w:val="single" w:sz="4" w:space="0" w:color="auto"/>
              <w:right w:val="single" w:sz="4" w:space="0" w:color="auto"/>
            </w:tcBorders>
            <w:vAlign w:val="center"/>
          </w:tcPr>
          <w:p w14:paraId="5A18EFD0" w14:textId="77777777" w:rsidR="00651381" w:rsidRDefault="00651381">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09B4D8EE" w14:textId="77777777" w:rsidR="00651381" w:rsidRDefault="00000000">
            <w:pPr>
              <w:jc w:val="distribute"/>
            </w:pPr>
            <w:r>
              <w:rPr>
                <w:rFonts w:hint="eastAsia"/>
              </w:rPr>
              <w:t>页数：</w:t>
            </w:r>
          </w:p>
        </w:tc>
        <w:tc>
          <w:tcPr>
            <w:tcW w:w="3036" w:type="dxa"/>
            <w:tcBorders>
              <w:top w:val="single" w:sz="4" w:space="0" w:color="auto"/>
              <w:left w:val="single" w:sz="4" w:space="0" w:color="auto"/>
              <w:bottom w:val="single" w:sz="4" w:space="0" w:color="auto"/>
              <w:right w:val="single" w:sz="4" w:space="0" w:color="auto"/>
            </w:tcBorders>
            <w:vAlign w:val="center"/>
          </w:tcPr>
          <w:p w14:paraId="79F2D82E" w14:textId="77777777" w:rsidR="00651381" w:rsidRDefault="00651381">
            <w:pPr>
              <w:jc w:val="center"/>
            </w:pPr>
          </w:p>
        </w:tc>
      </w:tr>
    </w:tbl>
    <w:p w14:paraId="17C11F09"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66D04F72"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6084A493"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5BAA8546"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37C7C185"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0557E529" w14:textId="77777777" w:rsidR="00651381" w:rsidRDefault="00651381">
      <w:pPr>
        <w:widowControl/>
        <w:spacing w:line="480" w:lineRule="exact"/>
        <w:jc w:val="center"/>
        <w:rPr>
          <w:rFonts w:ascii="方正小标宋简体" w:eastAsia="方正小标宋简体" w:hAnsi="宋体" w:cs="宋体" w:hint="eastAsia"/>
          <w:color w:val="222222"/>
          <w:kern w:val="0"/>
          <w:sz w:val="44"/>
          <w:szCs w:val="44"/>
        </w:rPr>
      </w:pPr>
    </w:p>
    <w:p w14:paraId="17FF0135" w14:textId="760DC118" w:rsidR="00651381" w:rsidRDefault="00000000">
      <w:pPr>
        <w:widowControl/>
        <w:spacing w:line="60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44"/>
          <w:szCs w:val="44"/>
        </w:rPr>
        <w:t>质量管理体系认证</w:t>
      </w:r>
      <w:r w:rsidR="00B37CA6">
        <w:rPr>
          <w:rFonts w:ascii="方正小标宋简体" w:eastAsia="方正小标宋简体" w:hAnsi="宋体" w:cs="宋体" w:hint="eastAsia"/>
          <w:color w:val="222222"/>
          <w:kern w:val="0"/>
          <w:sz w:val="44"/>
          <w:szCs w:val="44"/>
        </w:rPr>
        <w:t>实施</w:t>
      </w:r>
      <w:r>
        <w:rPr>
          <w:rFonts w:ascii="方正小标宋简体" w:eastAsia="方正小标宋简体" w:hAnsi="宋体" w:cs="宋体" w:hint="eastAsia"/>
          <w:color w:val="222222"/>
          <w:kern w:val="0"/>
          <w:sz w:val="44"/>
          <w:szCs w:val="44"/>
        </w:rPr>
        <w:t>规则</w:t>
      </w:r>
    </w:p>
    <w:p w14:paraId="2CDE0148" w14:textId="77777777" w:rsidR="00651381" w:rsidRDefault="00000000">
      <w:pPr>
        <w:widowControl/>
        <w:spacing w:line="480" w:lineRule="exact"/>
        <w:jc w:val="center"/>
        <w:rPr>
          <w:rFonts w:ascii="宋体" w:hAnsi="宋体" w:cs="宋体" w:hint="eastAsia"/>
          <w:color w:val="222222"/>
          <w:kern w:val="0"/>
          <w:sz w:val="27"/>
          <w:szCs w:val="27"/>
        </w:rPr>
      </w:pPr>
      <w:r>
        <w:rPr>
          <w:rFonts w:ascii="仿宋" w:eastAsia="仿宋" w:hAnsi="宋体" w:cs="宋体" w:hint="eastAsia"/>
          <w:color w:val="222222"/>
          <w:kern w:val="0"/>
          <w:sz w:val="32"/>
          <w:szCs w:val="32"/>
        </w:rPr>
        <w:t> </w:t>
      </w:r>
    </w:p>
    <w:p w14:paraId="5BE3F561"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53497C5A"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45347B09" w14:textId="77777777" w:rsidR="00651381" w:rsidRDefault="00651381">
      <w:pPr>
        <w:widowControl/>
        <w:spacing w:line="480" w:lineRule="exact"/>
        <w:jc w:val="center"/>
        <w:rPr>
          <w:rFonts w:ascii="仿宋" w:eastAsia="仿宋" w:hAnsi="宋体" w:cs="宋体" w:hint="eastAsia"/>
          <w:color w:val="222222"/>
          <w:kern w:val="0"/>
          <w:sz w:val="32"/>
          <w:szCs w:val="32"/>
        </w:rPr>
      </w:pPr>
    </w:p>
    <w:p w14:paraId="0960E928" w14:textId="77777777" w:rsidR="00651381" w:rsidRDefault="00000000">
      <w:pPr>
        <w:pStyle w:val="Heading11"/>
        <w:tabs>
          <w:tab w:val="left" w:pos="2832"/>
          <w:tab w:val="left" w:pos="3472"/>
          <w:tab w:val="left" w:pos="5071"/>
        </w:tabs>
        <w:spacing w:line="420" w:lineRule="exact"/>
        <w:rPr>
          <w:rFonts w:cs="楷体" w:hint="eastAsia"/>
          <w:spacing w:val="-1"/>
        </w:rPr>
      </w:pPr>
      <w:r>
        <w:rPr>
          <w:spacing w:val="-1"/>
        </w:rPr>
        <w:t>编制</w:t>
      </w:r>
      <w:r>
        <w:t>：</w:t>
      </w:r>
      <w:r>
        <w:tab/>
      </w:r>
      <w:r>
        <w:rPr>
          <w:rFonts w:hint="eastAsia"/>
        </w:rPr>
        <w:t>王</w:t>
      </w:r>
      <w:r>
        <w:t xml:space="preserve">  </w:t>
      </w:r>
      <w:r>
        <w:rPr>
          <w:rFonts w:hint="eastAsia"/>
        </w:rPr>
        <w:t>亮</w:t>
      </w:r>
      <w:r>
        <w:tab/>
      </w:r>
      <w:r>
        <w:rPr>
          <w:rFonts w:hint="eastAsia"/>
          <w:spacing w:val="-1"/>
        </w:rPr>
        <w:t xml:space="preserve"> </w:t>
      </w:r>
      <w:r>
        <w:rPr>
          <w:rFonts w:cs="楷体" w:hint="eastAsia"/>
          <w:spacing w:val="-1"/>
        </w:rPr>
        <w:t xml:space="preserve"> </w:t>
      </w:r>
    </w:p>
    <w:p w14:paraId="65DD51AF" w14:textId="77777777" w:rsidR="00651381" w:rsidRDefault="00651381">
      <w:pPr>
        <w:pStyle w:val="Heading11"/>
        <w:tabs>
          <w:tab w:val="left" w:pos="2832"/>
          <w:tab w:val="left" w:pos="3472"/>
          <w:tab w:val="left" w:pos="5071"/>
        </w:tabs>
        <w:spacing w:line="420" w:lineRule="exact"/>
        <w:rPr>
          <w:rFonts w:hint="eastAsia"/>
        </w:rPr>
      </w:pPr>
    </w:p>
    <w:p w14:paraId="7693A294" w14:textId="77777777" w:rsidR="00651381" w:rsidRDefault="00651381">
      <w:pPr>
        <w:spacing w:before="2" w:line="150" w:lineRule="exact"/>
        <w:rPr>
          <w:sz w:val="15"/>
          <w:szCs w:val="15"/>
        </w:rPr>
      </w:pPr>
    </w:p>
    <w:p w14:paraId="18D0F936" w14:textId="77777777" w:rsidR="00651381" w:rsidRDefault="00000000">
      <w:pPr>
        <w:tabs>
          <w:tab w:val="left" w:pos="2832"/>
          <w:tab w:val="left" w:pos="5071"/>
        </w:tabs>
        <w:ind w:left="1552"/>
        <w:rPr>
          <w:rFonts w:ascii="楷体" w:eastAsia="楷体" w:hAnsi="楷体" w:cs="楷体" w:hint="eastAsia"/>
          <w:spacing w:val="-1"/>
          <w:sz w:val="32"/>
          <w:szCs w:val="32"/>
        </w:rPr>
      </w:pPr>
      <w:r>
        <w:rPr>
          <w:rFonts w:ascii="楷体" w:eastAsia="楷体" w:hAnsi="楷体" w:cs="楷体"/>
          <w:spacing w:val="-1"/>
          <w:sz w:val="32"/>
          <w:szCs w:val="32"/>
        </w:rPr>
        <w:t>审</w:t>
      </w:r>
      <w:r>
        <w:rPr>
          <w:rFonts w:ascii="楷体" w:eastAsia="楷体" w:hAnsi="楷体" w:cs="楷体" w:hint="eastAsia"/>
          <w:spacing w:val="-1"/>
          <w:sz w:val="32"/>
          <w:szCs w:val="32"/>
        </w:rPr>
        <w:t>批</w:t>
      </w:r>
      <w:r>
        <w:rPr>
          <w:rFonts w:ascii="楷体" w:eastAsia="楷体" w:hAnsi="楷体" w:cs="楷体"/>
          <w:sz w:val="32"/>
          <w:szCs w:val="32"/>
        </w:rPr>
        <w:t>：</w:t>
      </w:r>
      <w:r>
        <w:rPr>
          <w:rFonts w:ascii="楷体" w:eastAsia="楷体" w:hAnsi="楷体" w:cs="楷体"/>
          <w:sz w:val="32"/>
          <w:szCs w:val="32"/>
        </w:rPr>
        <w:tab/>
      </w:r>
      <w:r>
        <w:rPr>
          <w:rFonts w:ascii="楷体" w:eastAsia="楷体" w:hAnsi="楷体" w:cs="楷体" w:hint="eastAsia"/>
          <w:spacing w:val="-1"/>
          <w:sz w:val="32"/>
          <w:szCs w:val="32"/>
        </w:rPr>
        <w:t>周  新</w:t>
      </w:r>
      <w:r>
        <w:rPr>
          <w:rFonts w:ascii="楷体" w:eastAsia="楷体" w:hAnsi="楷体" w:cs="楷体"/>
          <w:sz w:val="32"/>
          <w:szCs w:val="32"/>
        </w:rPr>
        <w:tab/>
      </w:r>
      <w:r>
        <w:rPr>
          <w:rFonts w:ascii="楷体" w:eastAsia="楷体" w:hAnsi="楷体" w:cs="楷体" w:hint="eastAsia"/>
          <w:spacing w:val="-1"/>
          <w:sz w:val="32"/>
          <w:szCs w:val="32"/>
        </w:rPr>
        <w:t xml:space="preserve"> </w:t>
      </w:r>
      <w:r>
        <w:rPr>
          <w:rFonts w:ascii="楷体" w:eastAsia="楷体" w:hAnsi="楷体" w:cs="楷体" w:hint="eastAsia"/>
          <w:spacing w:val="-2"/>
          <w:sz w:val="32"/>
          <w:szCs w:val="32"/>
        </w:rPr>
        <w:t xml:space="preserve"> </w:t>
      </w:r>
      <w:r>
        <w:rPr>
          <w:rFonts w:ascii="楷体" w:eastAsia="楷体" w:hAnsi="楷体" w:cs="楷体" w:hint="eastAsia"/>
          <w:spacing w:val="-1"/>
          <w:sz w:val="32"/>
          <w:szCs w:val="32"/>
        </w:rPr>
        <w:t xml:space="preserve"> </w:t>
      </w:r>
    </w:p>
    <w:p w14:paraId="23F54065" w14:textId="77777777" w:rsidR="00651381" w:rsidRDefault="00651381">
      <w:pPr>
        <w:spacing w:before="2" w:line="150" w:lineRule="exact"/>
        <w:rPr>
          <w:sz w:val="15"/>
          <w:szCs w:val="15"/>
        </w:rPr>
      </w:pPr>
    </w:p>
    <w:p w14:paraId="12B429E0" w14:textId="77777777" w:rsidR="00651381" w:rsidRDefault="00651381">
      <w:pPr>
        <w:spacing w:line="200" w:lineRule="exact"/>
        <w:rPr>
          <w:sz w:val="20"/>
          <w:szCs w:val="20"/>
        </w:rPr>
      </w:pPr>
    </w:p>
    <w:p w14:paraId="24B73F48" w14:textId="77777777" w:rsidR="00651381" w:rsidRDefault="00000000">
      <w:pPr>
        <w:tabs>
          <w:tab w:val="left" w:pos="5352"/>
        </w:tabs>
        <w:spacing w:line="200" w:lineRule="exact"/>
        <w:rPr>
          <w:sz w:val="20"/>
          <w:szCs w:val="20"/>
        </w:rPr>
      </w:pPr>
      <w:r>
        <w:rPr>
          <w:sz w:val="20"/>
          <w:szCs w:val="20"/>
        </w:rPr>
        <w:tab/>
      </w:r>
    </w:p>
    <w:p w14:paraId="25037CE2" w14:textId="77777777" w:rsidR="00651381" w:rsidRDefault="00651381">
      <w:pPr>
        <w:spacing w:line="200" w:lineRule="exact"/>
        <w:rPr>
          <w:sz w:val="20"/>
          <w:szCs w:val="20"/>
        </w:rPr>
      </w:pPr>
    </w:p>
    <w:p w14:paraId="11DAA7C5" w14:textId="77777777" w:rsidR="00651381" w:rsidRDefault="00651381">
      <w:pPr>
        <w:spacing w:line="200" w:lineRule="exact"/>
        <w:rPr>
          <w:sz w:val="20"/>
          <w:szCs w:val="20"/>
        </w:rPr>
      </w:pPr>
    </w:p>
    <w:p w14:paraId="0C62F6DA" w14:textId="77777777" w:rsidR="00651381" w:rsidRDefault="00651381">
      <w:pPr>
        <w:spacing w:line="200" w:lineRule="exact"/>
        <w:rPr>
          <w:sz w:val="20"/>
          <w:szCs w:val="20"/>
        </w:rPr>
      </w:pPr>
    </w:p>
    <w:p w14:paraId="4BA4CB35" w14:textId="77777777" w:rsidR="00651381" w:rsidRDefault="00651381">
      <w:pPr>
        <w:spacing w:line="200" w:lineRule="exact"/>
        <w:rPr>
          <w:sz w:val="20"/>
          <w:szCs w:val="20"/>
        </w:rPr>
      </w:pPr>
    </w:p>
    <w:p w14:paraId="0C148B12" w14:textId="77777777" w:rsidR="00651381" w:rsidRDefault="00651381">
      <w:pPr>
        <w:spacing w:line="200" w:lineRule="exact"/>
        <w:rPr>
          <w:sz w:val="20"/>
          <w:szCs w:val="20"/>
        </w:rPr>
      </w:pPr>
    </w:p>
    <w:p w14:paraId="0B27EAB7" w14:textId="77777777" w:rsidR="00651381" w:rsidRDefault="00651381">
      <w:pPr>
        <w:spacing w:line="200" w:lineRule="exact"/>
        <w:rPr>
          <w:sz w:val="20"/>
          <w:szCs w:val="20"/>
        </w:rPr>
      </w:pPr>
    </w:p>
    <w:p w14:paraId="1564124D" w14:textId="77777777" w:rsidR="00651381" w:rsidRDefault="00651381">
      <w:pPr>
        <w:spacing w:line="200" w:lineRule="exact"/>
        <w:rPr>
          <w:sz w:val="20"/>
          <w:szCs w:val="20"/>
        </w:rPr>
      </w:pPr>
    </w:p>
    <w:p w14:paraId="3B1EC0B5" w14:textId="77777777" w:rsidR="00651381" w:rsidRDefault="00651381">
      <w:pPr>
        <w:spacing w:line="200" w:lineRule="exact"/>
        <w:rPr>
          <w:sz w:val="20"/>
          <w:szCs w:val="20"/>
        </w:rPr>
      </w:pPr>
    </w:p>
    <w:p w14:paraId="25D3A417" w14:textId="77777777" w:rsidR="00651381" w:rsidRDefault="00651381">
      <w:pPr>
        <w:spacing w:line="200" w:lineRule="exact"/>
        <w:rPr>
          <w:sz w:val="20"/>
          <w:szCs w:val="20"/>
        </w:rPr>
      </w:pPr>
    </w:p>
    <w:p w14:paraId="434AD302" w14:textId="77777777" w:rsidR="00651381" w:rsidRDefault="00651381">
      <w:pPr>
        <w:spacing w:line="200" w:lineRule="exact"/>
        <w:rPr>
          <w:sz w:val="20"/>
          <w:szCs w:val="20"/>
        </w:rPr>
      </w:pPr>
    </w:p>
    <w:p w14:paraId="288DC699" w14:textId="77777777" w:rsidR="00651381" w:rsidRDefault="00651381">
      <w:pPr>
        <w:spacing w:line="200" w:lineRule="exact"/>
        <w:rPr>
          <w:sz w:val="20"/>
          <w:szCs w:val="20"/>
        </w:rPr>
      </w:pPr>
    </w:p>
    <w:p w14:paraId="6208B160" w14:textId="77777777" w:rsidR="00651381" w:rsidRDefault="00651381">
      <w:pPr>
        <w:spacing w:line="200" w:lineRule="exact"/>
        <w:rPr>
          <w:sz w:val="20"/>
          <w:szCs w:val="20"/>
        </w:rPr>
      </w:pPr>
    </w:p>
    <w:p w14:paraId="028988E5" w14:textId="77777777" w:rsidR="00651381" w:rsidRDefault="00651381">
      <w:pPr>
        <w:spacing w:line="200" w:lineRule="exact"/>
        <w:rPr>
          <w:sz w:val="20"/>
          <w:szCs w:val="20"/>
        </w:rPr>
      </w:pPr>
    </w:p>
    <w:p w14:paraId="71556492" w14:textId="77777777" w:rsidR="00651381" w:rsidRDefault="00651381">
      <w:pPr>
        <w:spacing w:line="200" w:lineRule="exact"/>
        <w:rPr>
          <w:sz w:val="20"/>
          <w:szCs w:val="20"/>
        </w:rPr>
      </w:pPr>
    </w:p>
    <w:p w14:paraId="74003BC2" w14:textId="77777777" w:rsidR="00651381" w:rsidRDefault="00651381">
      <w:pPr>
        <w:spacing w:line="200" w:lineRule="exact"/>
        <w:rPr>
          <w:sz w:val="20"/>
          <w:szCs w:val="20"/>
        </w:rPr>
      </w:pPr>
    </w:p>
    <w:p w14:paraId="48018906" w14:textId="77777777" w:rsidR="00651381" w:rsidRDefault="00651381">
      <w:pPr>
        <w:spacing w:line="200" w:lineRule="exact"/>
        <w:rPr>
          <w:sz w:val="20"/>
          <w:szCs w:val="20"/>
        </w:rPr>
      </w:pPr>
    </w:p>
    <w:p w14:paraId="7DF27548" w14:textId="77777777" w:rsidR="00651381" w:rsidRDefault="00651381">
      <w:pPr>
        <w:spacing w:line="200" w:lineRule="exact"/>
        <w:rPr>
          <w:sz w:val="20"/>
          <w:szCs w:val="20"/>
        </w:rPr>
      </w:pPr>
    </w:p>
    <w:p w14:paraId="598A3DA5" w14:textId="77777777" w:rsidR="00651381" w:rsidRDefault="00651381">
      <w:pPr>
        <w:spacing w:line="200" w:lineRule="exact"/>
        <w:rPr>
          <w:sz w:val="20"/>
          <w:szCs w:val="20"/>
        </w:rPr>
      </w:pPr>
    </w:p>
    <w:p w14:paraId="276BD1C3" w14:textId="77777777" w:rsidR="00651381" w:rsidRDefault="00651381">
      <w:pPr>
        <w:spacing w:before="4" w:line="240" w:lineRule="exact"/>
        <w:rPr>
          <w:sz w:val="24"/>
          <w:szCs w:val="24"/>
        </w:rPr>
      </w:pPr>
    </w:p>
    <w:p w14:paraId="6E5AF21D" w14:textId="77777777" w:rsidR="00651381" w:rsidRDefault="00000000">
      <w:pPr>
        <w:sectPr w:rsidR="00651381">
          <w:headerReference w:type="even" r:id="rId7"/>
          <w:footerReference w:type="even" r:id="rId8"/>
          <w:headerReference w:type="first" r:id="rId9"/>
          <w:footerReference w:type="first" r:id="rId10"/>
          <w:pgSz w:w="11905" w:h="16840"/>
          <w:pgMar w:top="760" w:right="780" w:bottom="280" w:left="1360" w:header="720" w:footer="720" w:gutter="0"/>
          <w:cols w:space="720"/>
        </w:sectPr>
      </w:pPr>
      <w:r>
        <w:rPr>
          <w:rFonts w:ascii="宋体" w:eastAsia="宋体" w:hAnsi="宋体" w:cs="宋体" w:hint="eastAsia"/>
          <w:sz w:val="28"/>
          <w:szCs w:val="28"/>
        </w:rPr>
        <w:t>2020年7月21日发布                             2020年7月21日</w:t>
      </w:r>
    </w:p>
    <w:p w14:paraId="32073F4B" w14:textId="77777777" w:rsidR="00651381" w:rsidRDefault="00000000">
      <w:pPr>
        <w:widowControl/>
        <w:spacing w:line="600" w:lineRule="atLeast"/>
        <w:ind w:firstLineChars="200" w:firstLine="640"/>
        <w:rPr>
          <w:rFonts w:ascii="宋体" w:eastAsia="宋体" w:hAnsi="宋体" w:cs="宋体" w:hint="eastAsia"/>
          <w:color w:val="222222"/>
          <w:kern w:val="0"/>
          <w:sz w:val="27"/>
          <w:szCs w:val="27"/>
        </w:rPr>
      </w:pPr>
      <w:r>
        <w:rPr>
          <w:rFonts w:ascii="仿宋" w:eastAsia="仿宋" w:hAnsi="宋体" w:cs="宋体" w:hint="eastAsia"/>
          <w:color w:val="222222"/>
          <w:kern w:val="0"/>
          <w:sz w:val="32"/>
          <w:szCs w:val="32"/>
        </w:rPr>
        <w:lastRenderedPageBreak/>
        <w:t>目</w:t>
      </w:r>
      <w:r>
        <w:rPr>
          <w:rFonts w:ascii="仿宋" w:eastAsia="仿宋" w:hAnsi="宋体" w:cs="宋体" w:hint="eastAsia"/>
          <w:color w:val="222222"/>
          <w:kern w:val="0"/>
          <w:sz w:val="32"/>
          <w:szCs w:val="32"/>
        </w:rPr>
        <w:t> </w:t>
      </w:r>
      <w:r>
        <w:rPr>
          <w:rFonts w:ascii="仿宋" w:eastAsia="仿宋" w:hAnsi="宋体" w:cs="宋体" w:hint="eastAsia"/>
          <w:color w:val="222222"/>
          <w:kern w:val="0"/>
          <w:sz w:val="32"/>
          <w:szCs w:val="32"/>
        </w:rPr>
        <w:t xml:space="preserve"> 录</w:t>
      </w:r>
    </w:p>
    <w:p w14:paraId="5B13E45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1.适用范围</w:t>
      </w:r>
    </w:p>
    <w:p w14:paraId="252C552C"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2.对认证机构的基本要求</w:t>
      </w:r>
    </w:p>
    <w:p w14:paraId="30CC31D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3.对认证审核人员的基本要求</w:t>
      </w:r>
    </w:p>
    <w:p w14:paraId="24A1733B"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4.初次认证程序</w:t>
      </w:r>
    </w:p>
    <w:p w14:paraId="60CE5BA6"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5.监督审核程序</w:t>
      </w:r>
    </w:p>
    <w:p w14:paraId="679ED880"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6.再认证程序</w:t>
      </w:r>
    </w:p>
    <w:p w14:paraId="53E4A79A"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7.暂停或撤销认证证书</w:t>
      </w:r>
    </w:p>
    <w:p w14:paraId="05FE9784"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8.认证证书要求</w:t>
      </w:r>
    </w:p>
    <w:p w14:paraId="13074AE5"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9.与其他管理体系的结合审核</w:t>
      </w:r>
    </w:p>
    <w:p w14:paraId="19D0DF8D"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10.受理转换认证证书</w:t>
      </w:r>
    </w:p>
    <w:p w14:paraId="7D1CEC13"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11.受理组织的申诉</w:t>
      </w:r>
    </w:p>
    <w:p w14:paraId="59999C85"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12.认证记录的管理</w:t>
      </w:r>
    </w:p>
    <w:p w14:paraId="751691D3"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13.其他</w:t>
      </w:r>
    </w:p>
    <w:p w14:paraId="7DE540FD" w14:textId="77777777" w:rsidR="00651381" w:rsidRDefault="00000000">
      <w:pPr>
        <w:widowControl/>
        <w:spacing w:line="60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附录A 质量管理体系认证审核时间要求</w:t>
      </w:r>
    </w:p>
    <w:p w14:paraId="5EFB1522" w14:textId="77777777" w:rsidR="00651381" w:rsidRDefault="00000000">
      <w:pPr>
        <w:widowControl/>
        <w:spacing w:line="469" w:lineRule="atLeast"/>
        <w:jc w:val="center"/>
        <w:rPr>
          <w:rFonts w:ascii="宋体" w:eastAsia="宋体" w:hAnsi="宋体" w:cs="宋体" w:hint="eastAsia"/>
          <w:color w:val="222222"/>
          <w:kern w:val="0"/>
          <w:sz w:val="27"/>
          <w:szCs w:val="27"/>
        </w:rPr>
      </w:pPr>
      <w:r>
        <w:rPr>
          <w:rFonts w:ascii="宋体" w:eastAsia="宋体" w:hAnsi="宋体" w:cs="宋体"/>
          <w:color w:val="222222"/>
          <w:kern w:val="0"/>
          <w:sz w:val="28"/>
          <w:szCs w:val="28"/>
        </w:rPr>
        <w:t> </w:t>
      </w:r>
    </w:p>
    <w:p w14:paraId="6166907E"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36C21521"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4EB16748"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06D41C43" w14:textId="77777777" w:rsidR="00651381" w:rsidRDefault="00651381">
      <w:pPr>
        <w:widowControl/>
        <w:spacing w:line="560" w:lineRule="atLeast"/>
        <w:ind w:firstLine="560"/>
        <w:jc w:val="left"/>
        <w:rPr>
          <w:rFonts w:ascii="仿宋" w:eastAsia="仿宋" w:hAnsi="微软雅黑" w:cs="宋体" w:hint="eastAsia"/>
          <w:color w:val="222222"/>
          <w:kern w:val="0"/>
          <w:sz w:val="28"/>
          <w:szCs w:val="28"/>
        </w:rPr>
      </w:pPr>
    </w:p>
    <w:p w14:paraId="124CE76C" w14:textId="77777777" w:rsidR="00651381" w:rsidRDefault="00000000">
      <w:pPr>
        <w:widowControl/>
        <w:spacing w:line="560" w:lineRule="atLeast"/>
        <w:ind w:firstLine="560"/>
        <w:jc w:val="left"/>
        <w:rPr>
          <w:rFonts w:ascii="宋体" w:eastAsia="宋体" w:hAnsi="宋体" w:cs="宋体" w:hint="eastAsia"/>
          <w:color w:val="222222"/>
          <w:kern w:val="0"/>
          <w:sz w:val="27"/>
          <w:szCs w:val="27"/>
        </w:rPr>
      </w:pPr>
      <w:r>
        <w:rPr>
          <w:rFonts w:ascii="仿宋" w:eastAsia="仿宋" w:hAnsi="微软雅黑" w:cs="宋体" w:hint="eastAsia"/>
          <w:color w:val="222222"/>
          <w:kern w:val="0"/>
          <w:sz w:val="28"/>
          <w:szCs w:val="28"/>
        </w:rPr>
        <w:br w:type="page"/>
      </w:r>
      <w:r>
        <w:rPr>
          <w:rFonts w:ascii="方正仿宋简体" w:eastAsia="方正仿宋简体" w:hAnsi="宋体" w:cs="宋体" w:hint="eastAsia"/>
          <w:color w:val="222222"/>
          <w:kern w:val="0"/>
          <w:sz w:val="32"/>
          <w:szCs w:val="32"/>
        </w:rPr>
        <w:lastRenderedPageBreak/>
        <w:t>1适用范围</w:t>
      </w:r>
    </w:p>
    <w:p w14:paraId="2B56CC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1.1本规则用于规范依据GB/T 19001/ISO 9001《质量管理体系要求》标准在中国境内开展的质量管理体系认证活动。</w:t>
      </w:r>
    </w:p>
    <w:p w14:paraId="3BF9327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1.2本规则依据认证认可相关法律法规，结合相关技术标准，对质量管理体系认证实施过程作出具体规定，明确认证机构对认证过程的管理责任，保证质量管理体系认证活动的规范有效。</w:t>
      </w:r>
    </w:p>
    <w:p w14:paraId="62120E3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1.3本规则是认证机构在质量管理体系认证活动中的基本要求，相关机构在该项认证活动中应当遵守本规则。</w:t>
      </w:r>
    </w:p>
    <w:p w14:paraId="69B75D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2对认证机构的基本要求</w:t>
      </w:r>
    </w:p>
    <w:p w14:paraId="3A8B8A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2.1获得国家认监委批准、取得从事质量管理体系认证的资质。</w:t>
      </w:r>
    </w:p>
    <w:p w14:paraId="164CA8B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2.2认证能力、内部管理和工作体系符合GB/T 27021/ISO/IEC 17021-1《合格评定 管理体系审核认证机构要求》。</w:t>
      </w:r>
    </w:p>
    <w:p w14:paraId="15F13D0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2.3建立内部制约、监督和责任机制，实现培训（包括相关增值服务）、审核和作出认证决定等工作环节相互分开，符合认证公正性要求。</w:t>
      </w:r>
    </w:p>
    <w:p w14:paraId="62BE6F5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2.4鼓励认证机构通过国家认监委确定的认可机构的认可，证明其认证能力、内部管理和工作体系符合GB/T 27021/ISO/IEC 17021-1《合格评定 管理体系审核认证机构要求》。</w:t>
      </w:r>
    </w:p>
    <w:p w14:paraId="3EC208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2.5不得将申请认证的组织（以下简称申请组织）是否获得认证与参与认证审核的审核员及其他人员的薪酬挂钩。</w:t>
      </w:r>
    </w:p>
    <w:p w14:paraId="34CD745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3对认证审核人员的基本要求</w:t>
      </w:r>
    </w:p>
    <w:p w14:paraId="48F5E76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3.1认证审核员应当取得国家认监委确定的认证人员注册机构颁发的质量管理体系审核员注册资格。</w:t>
      </w:r>
    </w:p>
    <w:p w14:paraId="1CBB4F8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3.2认证人员应当遵守与从业相关的法律法规，对认证审核活动及相关认证审核记录和认证审核报告的真实性承担相应的法律责任。</w:t>
      </w:r>
    </w:p>
    <w:p w14:paraId="58E6EA9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4初次认证程序 </w:t>
      </w:r>
    </w:p>
    <w:p w14:paraId="2DC1DEE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4.1受理认证申请</w:t>
      </w:r>
    </w:p>
    <w:p w14:paraId="0190DAB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4.1.1认证机构应向申请组织至少公开以下信息：</w:t>
      </w:r>
    </w:p>
    <w:p w14:paraId="2D22C0E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（1）可开展认证业务的范围，以及获得认可的情况。</w:t>
      </w:r>
    </w:p>
    <w:p w14:paraId="294EF00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（2）本规则的完整内容。</w:t>
      </w:r>
    </w:p>
    <w:p w14:paraId="545C06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（3）认证证书样式。</w:t>
      </w:r>
    </w:p>
    <w:p w14:paraId="696EF0F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（4）对认证过程的申投诉规定。</w:t>
      </w:r>
    </w:p>
    <w:p w14:paraId="601F8E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4.1.2认证机构应当要求申请组织至少提交以下资料：</w:t>
      </w:r>
    </w:p>
    <w:p w14:paraId="35AB6D2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（1）认证申请书，申请书应包括申请认证的生产、经营或服务活动范围及活动情况的说明。</w:t>
      </w:r>
    </w:p>
    <w:p w14:paraId="0C86DC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（2）法律地位的证明文件的复印件。若质量管理体系覆盖多场所活动，应附每个场所的法律地位证明文件的复印件（适用时）。</w:t>
      </w:r>
    </w:p>
    <w:p w14:paraId="2CBFBC6A" w14:textId="77777777" w:rsidR="00651381" w:rsidRDefault="00000000">
      <w:pPr>
        <w:widowControl/>
        <w:spacing w:line="560" w:lineRule="atLeast"/>
        <w:ind w:firstLine="614"/>
        <w:jc w:val="left"/>
        <w:rPr>
          <w:rFonts w:ascii="微软雅黑" w:eastAsia="微软雅黑" w:hAnsi="微软雅黑" w:cs="宋体" w:hint="eastAsia"/>
          <w:color w:val="222222"/>
          <w:kern w:val="0"/>
          <w:sz w:val="27"/>
          <w:szCs w:val="27"/>
        </w:rPr>
      </w:pPr>
      <w:r>
        <w:rPr>
          <w:rFonts w:ascii="方正仿宋简体" w:eastAsia="方正仿宋简体" w:hAnsi="微软雅黑" w:cs="宋体" w:hint="eastAsia"/>
          <w:color w:val="222222"/>
          <w:kern w:val="0"/>
          <w:sz w:val="32"/>
          <w:szCs w:val="32"/>
        </w:rPr>
        <w:lastRenderedPageBreak/>
        <w:t>（3）质量管理体系覆盖的活动所涉及法律法规要求的行政许可证明、资质证书、强制性认证证书等的复印件。</w:t>
      </w:r>
    </w:p>
    <w:p w14:paraId="52ABFAEF" w14:textId="77777777" w:rsidR="00651381" w:rsidRDefault="00000000">
      <w:pPr>
        <w:widowControl/>
        <w:spacing w:line="560" w:lineRule="atLeast"/>
        <w:ind w:firstLine="614"/>
        <w:jc w:val="left"/>
        <w:rPr>
          <w:rFonts w:ascii="微软雅黑" w:eastAsia="微软雅黑" w:hAnsi="微软雅黑" w:cs="宋体" w:hint="eastAsia"/>
          <w:color w:val="222222"/>
          <w:kern w:val="0"/>
          <w:sz w:val="27"/>
          <w:szCs w:val="27"/>
        </w:rPr>
      </w:pPr>
      <w:r>
        <w:rPr>
          <w:rFonts w:ascii="方正仿宋简体" w:eastAsia="方正仿宋简体" w:hAnsi="微软雅黑" w:cs="宋体" w:hint="eastAsia"/>
          <w:color w:val="222222"/>
          <w:kern w:val="0"/>
          <w:sz w:val="32"/>
          <w:szCs w:val="32"/>
        </w:rPr>
        <w:t>（4）质量管理体系成文信息 (适用时)。</w:t>
      </w:r>
    </w:p>
    <w:p w14:paraId="2AC687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4.1.3认证机构应对申请组织提交的申请资料进行评审，根据申请认证的活动范围及场所、员工人数、完成审核所需时间和其他影响认证活动的因素，综合确定是否有能力受理认证申请。</w:t>
      </w:r>
    </w:p>
    <w:p w14:paraId="1D3BC55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对被执法监管部门责令停业整顿或在全国企业信用信息公示系统中被列入“严重违法企业名单”的申请组织，认证机构不应受理其认证申请。</w:t>
      </w:r>
    </w:p>
    <w:p w14:paraId="190DD90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4.1.4对符合4.1.2、4.1.3要求的，认证机构可决定受理认证申请；对不符合上述要求的，认证机构应通知申请组织补充和完善，或者不受理认证申请。</w:t>
      </w:r>
    </w:p>
    <w:p w14:paraId="434C574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4.1.5签订认证合同</w:t>
      </w:r>
    </w:p>
    <w:p w14:paraId="62BE432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在实施认证审核前，认证机构应与申请组织订立具有法律效力的书面认证合同，合同应至少包含以下内容：</w:t>
      </w:r>
    </w:p>
    <w:p w14:paraId="3822CD4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（1）申请组织获得认证后持续有效运行质量管理体系的承诺。</w:t>
      </w:r>
    </w:p>
    <w:p w14:paraId="2A2A6A7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（2）申请组织对遵守认证认可相关法律法规，协助认证监管部门的监督检查，对有关事项的询问和调查如实提供相关材料和信息的承诺。</w:t>
      </w:r>
    </w:p>
    <w:p w14:paraId="38436E9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（3）申请组织承诺获得认证后发生以下情况时，应及时向认证机构通报：</w:t>
      </w:r>
    </w:p>
    <w:p w14:paraId="0DF6470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①客户及相关方有重大投诉。</w:t>
      </w:r>
    </w:p>
    <w:p w14:paraId="3C0FF63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②生产、销售的产品或提供的服务被质量或市场监管部门认定不合格。</w:t>
      </w:r>
    </w:p>
    <w:p w14:paraId="4B66776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③发生产品和服务的质量安全事故。</w:t>
      </w:r>
    </w:p>
    <w:p w14:paraId="35004E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14:paraId="67CA2CD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⑤出现影响质量管理体系运行的其他重要情况。</w:t>
      </w:r>
    </w:p>
    <w:p w14:paraId="5227B1D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（4）申请组织承诺获得认证后正确使用认证证书、认证标志和有关信息，不利用质量管理体系认证证书和相关文字、符号误导公众认为其产品或服务通过认证。</w:t>
      </w:r>
    </w:p>
    <w:p w14:paraId="57DD53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（5）拟认证的质量管理体系覆盖的生产或服务的活动范围。</w:t>
      </w:r>
    </w:p>
    <w:p w14:paraId="60E2C8C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（6）在认证审核实施过程及认证证书有效期内，认证机构和申请组织各自应当承担的责任、权利和义务。</w:t>
      </w:r>
    </w:p>
    <w:p w14:paraId="773CBCC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（7）认证服务的费用、付费方式及违约条款。</w:t>
      </w:r>
    </w:p>
    <w:p w14:paraId="7022F34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4.2审核策划</w:t>
      </w:r>
    </w:p>
    <w:p w14:paraId="07DB2A9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4.2.1审核时间</w:t>
      </w:r>
    </w:p>
    <w:p w14:paraId="7DFD56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14:paraId="7AEBFAB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4.2.1.2 整个审核时间中，现场审核时间不应少于总审核时间的80％。 </w:t>
      </w:r>
    </w:p>
    <w:p w14:paraId="49FEEBE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4.2.2审核组</w:t>
      </w:r>
    </w:p>
    <w:p w14:paraId="53AD665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4.2.2.1认证机构应当根据质量管理体系覆盖的活动的专业技术领域选择具备相关能力的审核员组成审核组，必要时可以选择技术专家参加审核组。审核组中的审核员承担审核任务和责任。</w:t>
      </w:r>
    </w:p>
    <w:p w14:paraId="3E3B2A5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4.2.2.2技术专家主要负责提供认证审核的技术支持，不作为审核员实施审核，不计入审核时间，其在审核过程中的活动由审核组中的审核员承担责任。</w:t>
      </w:r>
    </w:p>
    <w:p w14:paraId="7ED4EBB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4.2.2.3审核组可以有实习审核员，其要在审核员的指导下参与审核，不计入审核时间，不单独出具记录等审核文件，其在审核过程中的活动由审核组中的审核员承担责任。</w:t>
      </w:r>
    </w:p>
    <w:p w14:paraId="496341E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4.2.3审核计划</w:t>
      </w:r>
    </w:p>
    <w:p w14:paraId="7FE3981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4.2.3.1认证机构应为每次审核制定书面的审核计划（第一阶段审核不要求正式的审核计划）。审核计划至少包</w:t>
      </w:r>
      <w:r>
        <w:rPr>
          <w:rFonts w:ascii="方正仿宋简体" w:eastAsia="方正仿宋简体" w:hAnsi="宋体" w:cs="宋体" w:hint="eastAsia"/>
          <w:color w:val="222222"/>
          <w:kern w:val="0"/>
          <w:sz w:val="32"/>
          <w:szCs w:val="32"/>
        </w:rPr>
        <w:lastRenderedPageBreak/>
        <w:t xml:space="preserve">括以下内容：审核目的，审核准则，审核范围，现场审核的日期和场所，现场审核持续时间，审核组成员（其中：审核员应标明认证人员注册号;技术专家应标明专业代码、工作单位及专业技术职称）。 </w:t>
      </w:r>
    </w:p>
    <w:p w14:paraId="594DFF5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14:paraId="2049C94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4.2.3.3为使现场审核活动能够观察到产品生产或服务活动情况，现场审核应安排在认证范围覆盖的产品生产或服务活动正常运行时进行。</w:t>
      </w:r>
    </w:p>
    <w:p w14:paraId="49BBA1B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4.2.3.4在审核活动开始前，审核组应将审核计划交申请组织确认，遇特殊情况临时变更计划时，应及时将变更情况通知申请组织，并协商一致。</w:t>
      </w:r>
    </w:p>
    <w:p w14:paraId="3E383CD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4.3实施审核 </w:t>
      </w:r>
    </w:p>
    <w:p w14:paraId="0E8360B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4.3.1审核组应当按照审核计划的安排完成审核工作。除不可预见的特殊情况外，审核过程中不得更换审核计划确定的审核员。</w:t>
      </w:r>
    </w:p>
    <w:p w14:paraId="61215CE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14:paraId="57F6451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4.3.3审核过程及环节</w:t>
      </w:r>
    </w:p>
    <w:p w14:paraId="1DC553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4.3.3.1初次认证审核，分为第一、二阶段实施审核。</w:t>
      </w:r>
    </w:p>
    <w:p w14:paraId="3613EA2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4.3.3.2第一阶段审核应至少覆盖以下内容： </w:t>
      </w:r>
    </w:p>
    <w:p w14:paraId="350B35C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14:paraId="0A1B226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14:paraId="4E03C71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（3）确认申请组织建立的质量管理体系覆盖的活动内容和范围、体系覆盖范围内有效人数、过程和场所，遵守适用的法律法规及强制性标准的情况。</w:t>
      </w:r>
    </w:p>
    <w:p w14:paraId="01F8EED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（4）结合质量管理体系覆盖产品和服务的特点识别对质量目标的实现具有重要影响的关键点，并结合其他因素，科学确定重要审核点。</w:t>
      </w:r>
    </w:p>
    <w:p w14:paraId="45EF2D6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（5）与申请组织讨论确定第二阶段审核安排。对质量管理体系成文信息不符合现场实际、相关体系运行尚未超过3个月或者无法证明超过3个月的，以及其他不具备二阶段审核条件的，不应实施二阶段审核。</w:t>
      </w:r>
    </w:p>
    <w:p w14:paraId="03AEBCD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4.3.3.3在下列情况，第一阶段审核可以不在申请组织现场进行，但应记录未在现场进行的原因：</w:t>
      </w:r>
    </w:p>
    <w:p w14:paraId="618E5EF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（1）申请组织已获本认证机构颁发的其他有效认证证书，认证机构已对申请组织质量管理体系有充分了解。</w:t>
      </w:r>
    </w:p>
    <w:p w14:paraId="2DDDF6A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（2）认证机构有充足的理由证明申请组织的生产经营或服务的技术特征明显、过程简单，通过对其提交文件和资料的审查可以达到第一阶段审核的目的和要求。</w:t>
      </w:r>
    </w:p>
    <w:p w14:paraId="374D5FF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（3）申请组织获得了其他经认可机构认可的认证机构颁发的有效的质量管理体系认证证书，通过对其文件和资料的审查可以达到第一阶段审核的目的和要求。</w:t>
      </w:r>
    </w:p>
    <w:p w14:paraId="2E66FF5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除以上情况之外，第一阶段审核应在受审核方的生产经营或服务现场进行。</w:t>
      </w:r>
    </w:p>
    <w:p w14:paraId="405D7A9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4.3.3.4审核组应将第一阶段审核情况形成书面文件告知申请组织。对在第二阶段审核中可能被判定为不符合项的重要关键点，要及时提醒申请组织特别关注。</w:t>
      </w:r>
    </w:p>
    <w:p w14:paraId="5D34436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4.3.3.5第二阶段审核应当在申请组织现场进行。重点是审核质量管理体系符合GB/T 19001/ISO 9001标准要求和有效运行情况，应至少覆盖以下内容：</w:t>
      </w:r>
    </w:p>
    <w:p w14:paraId="390B874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（1）在第一阶段审核中识别的重要审核点的过程控制的有效性。</w:t>
      </w:r>
    </w:p>
    <w:p w14:paraId="0A50E6F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（2）为实现质量方针而在相关职能、层次和过程上建立质量目标是否具体适用、可测量并得到沟通、监视。</w:t>
      </w:r>
    </w:p>
    <w:p w14:paraId="5CB857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（3）对质量管理体系覆盖的过程和活动的管理及控制情况。</w:t>
      </w:r>
    </w:p>
    <w:p w14:paraId="2705CE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（4）申请组织实际工作记录是否真实。对于审核发现的真实性存疑的证据应予以记录并在做出审核结论及认证决定时予以考虑。</w:t>
      </w:r>
    </w:p>
    <w:p w14:paraId="24BD613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（5）申请组织的内部审核和管理评审是否有效。</w:t>
      </w:r>
    </w:p>
    <w:p w14:paraId="10468AA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4.3.4发生以下情况时，审核组应向认证机构报告，经认证机构同意后终止审核。</w:t>
      </w:r>
    </w:p>
    <w:p w14:paraId="7D426AE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（1）受审核方对审核活动不予配合，审核活动无法进行。</w:t>
      </w:r>
    </w:p>
    <w:p w14:paraId="780B32B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（2）受审核方实际情况与申请材料有重大不一致。</w:t>
      </w:r>
    </w:p>
    <w:p w14:paraId="60A6B0B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（3）其他导致审核程序无法完成的情况。</w:t>
      </w:r>
    </w:p>
    <w:p w14:paraId="75D6228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4.4审核报告</w:t>
      </w:r>
    </w:p>
    <w:p w14:paraId="32F7DB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4.4.1审核组应对审核活动形成书面审核报告，由审核组组长签字。审核报告应准确、简明和清晰地描述审核活动的主要内容，至少包括以下内容：</w:t>
      </w:r>
    </w:p>
    <w:p w14:paraId="69B08A4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（1）申请组织的名称和地址。</w:t>
      </w:r>
    </w:p>
    <w:p w14:paraId="34B565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（2）申请组织活动范围和场所。</w:t>
      </w:r>
    </w:p>
    <w:p w14:paraId="2E00600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（3）审核的类型、准则和目的。</w:t>
      </w:r>
    </w:p>
    <w:p w14:paraId="5F70180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（4）审核组组长、审核组成员及其个人注册信息。</w:t>
      </w:r>
    </w:p>
    <w:p w14:paraId="6A567C3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（5）审核活动的实施日期和地点，包括固定现场和临时现场；对偏离审核计划情况的说明，包括对审核风险及影响审核结论的不确定性的客观陈述。</w:t>
      </w:r>
    </w:p>
    <w:p w14:paraId="12E8224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（6）叙述从4.3条列明的程序及各项要求的审核工作情况，其中：对4.3.3.5条的各项审核要求应逐项描述或引用审核证据、审核发现和审核结论；对质量目标和过程及质量绩效实现情况进行评价。</w:t>
      </w:r>
    </w:p>
    <w:p w14:paraId="6E76A3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（7）识别出的不符合项。</w:t>
      </w:r>
    </w:p>
    <w:p w14:paraId="5872070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（8）审核组对是否通过认证的意见建议。</w:t>
      </w:r>
    </w:p>
    <w:p w14:paraId="29856A7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4.4.2认证机构应保留用于证实审核报告中相关信息的证据。</w:t>
      </w:r>
    </w:p>
    <w:p w14:paraId="7E51606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4.4.3认证机构应在作出认证决定后30个工作日内将审核报告提交申请组织，并保留签收或提交的证据。</w:t>
      </w:r>
    </w:p>
    <w:p w14:paraId="12EBD96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4.4.4对终止审核的项目，审核组应将已开展的工作情况形成报告，认证机构应将此报告及终止审核的原因提交给申请组织，并保留签收或提交的证据。</w:t>
      </w:r>
    </w:p>
    <w:p w14:paraId="7CFF649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4.5不符合项的纠正和纠正措施及其结果的验证</w:t>
      </w:r>
    </w:p>
    <w:p w14:paraId="6CC29C1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w:t>
      </w:r>
      <w:r>
        <w:rPr>
          <w:rFonts w:ascii="方正仿宋简体" w:eastAsia="方正仿宋简体" w:hAnsi="宋体" w:cs="宋体" w:hint="eastAsia"/>
          <w:color w:val="222222"/>
          <w:kern w:val="0"/>
          <w:sz w:val="32"/>
          <w:szCs w:val="32"/>
        </w:rPr>
        <w:lastRenderedPageBreak/>
        <w:t>结果的有效性进行验证。如果未能在第二阶段结束后6个月内验证对严重不符合实施的纠正和纠正措施，则应按4.6.5条处理，或者按照4.3.3.5条重新实施第二阶段审核。</w:t>
      </w:r>
    </w:p>
    <w:p w14:paraId="00EC0BA3"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4.6认证决定</w:t>
      </w:r>
    </w:p>
    <w:p w14:paraId="7A870C8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4.6.1认证机构应该在对审核报告、不符合项的纠正和纠正措施及其结果进行综合评价基础上，作出认证决定。</w:t>
      </w:r>
    </w:p>
    <w:p w14:paraId="29F7BC1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4.6.2认证决定人员应为认证机构管理控制下的人员，审核组成员不得参与对审核项目的认证决定。</w:t>
      </w:r>
    </w:p>
    <w:p w14:paraId="1FF7436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4.6.3认证机构在作出认证决定前应确认如下情形：</w:t>
      </w:r>
    </w:p>
    <w:p w14:paraId="6BE09A3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（1）审核报告符合本规则第4.4条要求，审核组提供的审核报告及其他信息能够满足作出认证决定所需要的信息。</w:t>
      </w:r>
    </w:p>
    <w:p w14:paraId="2289B9E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（2）反映以下问题的不符合项，认证机构已评审、接受并验证了纠正和纠正措施的有效性。</w:t>
      </w:r>
    </w:p>
    <w:p w14:paraId="18AD9F1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①在持续改进质量管理体系的有效性方面存在缺陷，实现质量目标有重大疑问。</w:t>
      </w:r>
    </w:p>
    <w:p w14:paraId="57BE37A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②制定的质量目标不可测量、或测量方法不明确。</w:t>
      </w:r>
    </w:p>
    <w:p w14:paraId="376B231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③对实现质量目标具有重要影响的关键点的监视和测量未有效运行，或者对这些关键点的报告或评审记录不完整或无效。</w:t>
      </w:r>
    </w:p>
    <w:p w14:paraId="242E26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④其他严重不符合项。</w:t>
      </w:r>
    </w:p>
    <w:p w14:paraId="198749E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（3）认证机构对其他一般不符合项已评审，并接受了申请组织计划采取的纠正和纠正措施。</w:t>
      </w:r>
    </w:p>
    <w:p w14:paraId="762BCBA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4.6.4在满足4.6.3条要求的基础上，认证机构有充分的客观证据证明申请组织满足下列要求的，评定该申请组织符合认证要求，向其颁发认证证书。</w:t>
      </w:r>
    </w:p>
    <w:p w14:paraId="092FEB1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（1）申请组织的质量管理体系符合标准要求且运行有效。</w:t>
      </w:r>
    </w:p>
    <w:p w14:paraId="0E5A476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（2）认证范围覆盖的产品和服务符合相关法律法规要求。</w:t>
      </w:r>
    </w:p>
    <w:p w14:paraId="38719B1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（3）申请组织按照认证合同规定履行了相关义务。</w:t>
      </w:r>
    </w:p>
    <w:p w14:paraId="7957EAC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4.6.5申请组织不能满足上述要求或者存在以下情况的，评定该申请组织不符合认证要求，以书面形式告知申请组织并说明其未通过认证的原因。</w:t>
      </w:r>
    </w:p>
    <w:p w14:paraId="3CD6557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（1）受审核方的质量管理体系有重大缺陷，不符合GB/T 19001/ISO 9001标准的要求。</w:t>
      </w:r>
    </w:p>
    <w:p w14:paraId="059A99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（2）发现受审核方存在重大质量安全问题或有其他与产品和服务质量相关严重违法违规行为。</w:t>
      </w:r>
    </w:p>
    <w:p w14:paraId="16ED0AE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4.6.6认证机构在颁发认证证书后，应当在30个工作日内按照规定的要求将认证结果相关信息报送国家认监委。 </w:t>
      </w:r>
    </w:p>
    <w:p w14:paraId="1EC8926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5监督审核程序</w:t>
      </w:r>
    </w:p>
    <w:p w14:paraId="0FA4E8F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5.1认证机构应对持有其颁发的质量管理体系认证证书的组织（以下称获证组织）进行有效跟踪，监督获证组织持续运行质量管理体系并符合认证要求。</w:t>
      </w:r>
    </w:p>
    <w:p w14:paraId="4488F4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5.2为确保达到5.1条要求，认证机构应根据获证组织的产品和服务的质量风险程度或其他特性，确定对获证组织的监督审核的频次。</w:t>
      </w:r>
    </w:p>
    <w:p w14:paraId="550BB2D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14:paraId="3CD8DC2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5.2.2超过期限而未能实施监督审核的，应按7.2或7.3条处理。</w:t>
      </w:r>
    </w:p>
    <w:p w14:paraId="66830CF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5.2.3获证企业的产品在产品质量国家监督抽查中被查出不合格时，自国家质检总局发出通报起30日内，认证机构应对该企业实施监督审核。</w:t>
      </w:r>
    </w:p>
    <w:p w14:paraId="4C95A4D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5.3监督审核的时间，应不少于按4.2.1条计算审核时间人日数的1/3。</w:t>
      </w:r>
    </w:p>
    <w:p w14:paraId="23E2AE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5.4监督审核的审核组，应符合4.2.2条和4.3.1条的要求。</w:t>
      </w:r>
    </w:p>
    <w:p w14:paraId="4A4DDDF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14:paraId="28480DD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5.6监督审核时至少应审核以下内容：</w:t>
      </w:r>
    </w:p>
    <w:p w14:paraId="6F46C54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（1）上次审核以来质量管理体系覆盖的活动及影响体系的重要变更及运行体系的资源是否有变更。</w:t>
      </w:r>
    </w:p>
    <w:p w14:paraId="090BBB3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（2）按4.3.3.2（4）条要求已识别的重要关键点是否按质量管理体系的要求在正常和有效运行。</w:t>
      </w:r>
    </w:p>
    <w:p w14:paraId="221924D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（3）对上次审核中确定的不符合项采取的纠正和纠正措施是否继续有效。</w:t>
      </w:r>
    </w:p>
    <w:p w14:paraId="39A6FE0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（4）质量管理体系覆盖的活动涉及法律法规规定的，是否持续符合相关规定。</w:t>
      </w:r>
    </w:p>
    <w:p w14:paraId="566B6B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（5）质量目标及质量绩效是否达到质量管理体系确定值。如果没有达到，获证组织是否运行内审机制识别了原因、是否运行管理评审机制确定并实施了改进措施。</w:t>
      </w:r>
    </w:p>
    <w:p w14:paraId="72088A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（6）获证组织对认证标志的使用或对认证资格的引用是否符合《认证认可条例》及其他相关规定。</w:t>
      </w:r>
    </w:p>
    <w:p w14:paraId="4CA90D4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（7）内部审核和管理评审是否规范和有效。</w:t>
      </w:r>
    </w:p>
    <w:p w14:paraId="0C6E3FA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（8）是否及时接受和处理投诉。</w:t>
      </w:r>
    </w:p>
    <w:p w14:paraId="7C8D60C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（9）针对体系运行中发现的问题或投诉，及时制定并实施了有效的改进措施。</w:t>
      </w:r>
    </w:p>
    <w:p w14:paraId="56C6B47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5.7在监督审核中发现的不符合项，认证机构应要求获证组织分析原因，规定时限要求获证组织完成纠正和纠正措施并提供纠正和纠正措施有效性的证据。</w:t>
      </w:r>
    </w:p>
    <w:p w14:paraId="2005408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认证机构应采用适宜的方式及时验证获证组织对不符合项进行处置的效果。</w:t>
      </w:r>
    </w:p>
    <w:p w14:paraId="0489169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5.8 监督审核的审核报告，应按5.6条列明的审核要求逐项描述或引用审核证据、审核发现和审核结论。</w:t>
      </w:r>
    </w:p>
    <w:p w14:paraId="1A357F3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5.9 认证机构根据监督审核报告及其他相关信息，作出继续保持或暂停、撤销认证证书的决定。</w:t>
      </w:r>
    </w:p>
    <w:p w14:paraId="115F512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6再认证程序</w:t>
      </w:r>
    </w:p>
    <w:p w14:paraId="10BA1B8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6.1认证证书期满前，若获证组织申请继续持有认证证书，认证机构应当实施再认证审核，并决定是否延续认证证书。</w:t>
      </w:r>
    </w:p>
    <w:p w14:paraId="4EBE6D9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6.2认证机构应按4.2.2条和4.3.1条要求组成审核组。按照4.2.3条要求并结合历次监督审核情况，制定再认证审核计划交审核组实施。</w:t>
      </w:r>
    </w:p>
    <w:p w14:paraId="7A7E52F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在质量管理体系及获证组织的内部和外部环境无重大变更时，再认证审核可省略第一阶段审核，但审核时间应不少于按4.2.1条计算人日数的2/3。 </w:t>
      </w:r>
    </w:p>
    <w:p w14:paraId="5B4231F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14:paraId="15838F0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6.4认证机构按照4.6条要求作出再认证决定。获证组织继续满足认证要求并履行认证合同义务的，向其换发认证证书。</w:t>
      </w:r>
    </w:p>
    <w:p w14:paraId="7311A44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6.5如果在当前认证证书的终止日期前完成了再认证活动并决定换发证证书，新认证证书的终止日期可以基于当前认证证书的终止日期。新认证证书上的颁证日期应不早于再认证决定日期。</w:t>
      </w:r>
    </w:p>
    <w:p w14:paraId="06D90BB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如果在当前认证证书终止日期前，认证机构未能完成再认证审核或对严重不符合项实施的纠正和纠正措施未能进</w:t>
      </w:r>
      <w:r>
        <w:rPr>
          <w:rFonts w:ascii="方正仿宋简体" w:eastAsia="方正仿宋简体" w:hAnsi="宋体" w:cs="宋体" w:hint="eastAsia"/>
          <w:color w:val="222222"/>
          <w:kern w:val="0"/>
          <w:sz w:val="32"/>
          <w:szCs w:val="32"/>
        </w:rPr>
        <w:lastRenderedPageBreak/>
        <w:t>行验证，则不应予以再认证，也不应延长原认证证书的有效期。</w:t>
      </w:r>
    </w:p>
    <w:p w14:paraId="4FA455E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14:paraId="6E8095F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7暂停或撤销认证证书 </w:t>
      </w:r>
    </w:p>
    <w:p w14:paraId="5606527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14:paraId="4B9767F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7.2暂停证书</w:t>
      </w:r>
    </w:p>
    <w:p w14:paraId="0A7B5CE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7.2.1获证组织有以下情形之一的，认证机构应在调查核实后的5个工作日内暂停其认证证书。</w:t>
      </w:r>
    </w:p>
    <w:p w14:paraId="39A8917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（1）质量管理体系持续或严重不满足认证要求，包括对质量管理体系运行有效性要求的。</w:t>
      </w:r>
    </w:p>
    <w:p w14:paraId="12E06F6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（2）不承担、履行认证合同约定的责任和义务的。</w:t>
      </w:r>
    </w:p>
    <w:p w14:paraId="471D68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（3）被有关执法监管部门责令停业整顿的。</w:t>
      </w:r>
    </w:p>
    <w:p w14:paraId="4E48746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（4）持有的与质量管理体系范围有关的行政许可证明、资质证书、强制性认证证书等过期失效，重新提交的申请已被受理但尚未换证的。</w:t>
      </w:r>
    </w:p>
    <w:p w14:paraId="4CA6676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（5）主动请求暂停的。</w:t>
      </w:r>
    </w:p>
    <w:p w14:paraId="26DA18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 xml:space="preserve">（6）其他应当暂停认证证书的。 </w:t>
      </w:r>
    </w:p>
    <w:p w14:paraId="17F3CC3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7.2.2认证证书暂停期不得超过6个月。但属于7.2.1第（4）项情形的暂停期可至相关单位作出许可决定之日。</w:t>
      </w:r>
    </w:p>
    <w:p w14:paraId="7EEE7E1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14:paraId="1E6770C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7.3撤销证书</w:t>
      </w:r>
    </w:p>
    <w:p w14:paraId="015F307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7.3.1获证组织有以下情形之一的，认证机构应在获得相关信息并调查核实后5个工作日内撤销其认证证书。</w:t>
      </w:r>
    </w:p>
    <w:p w14:paraId="3BD3A78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（1）被注销或撤销法律地位证明文件的。</w:t>
      </w:r>
    </w:p>
    <w:p w14:paraId="41CE3BB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（2）被国家质量监督检验检疫总局列入质量信用严重失信企业名单</w:t>
      </w:r>
    </w:p>
    <w:p w14:paraId="1FD5825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（3）拒绝配合认证监管部门实施的监督检查，或者对有关事项的询问和调查提供了虚假材料或信息的。</w:t>
      </w:r>
    </w:p>
    <w:p w14:paraId="5CF7346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（4）拒绝接受国家产品质量监督抽查的。</w:t>
      </w:r>
    </w:p>
    <w:p w14:paraId="12A22E9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（5）出现重大的产品和服务等质量安全事故，经执法监管部门确认是获证组织违规造成的。</w:t>
      </w:r>
    </w:p>
    <w:p w14:paraId="72E2CC5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（6）有其他严重违反法律法规行为的。</w:t>
      </w:r>
    </w:p>
    <w:p w14:paraId="01C541B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14:paraId="0777519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（8）没有运行质量管理体系或者已不具备运行条件的。</w:t>
      </w:r>
    </w:p>
    <w:p w14:paraId="0782D41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（9）不按相关规定正确引用和宣传获得的认证信息，造成严重影响或后果，或者认证机构已要求其纠正但超过2个月仍未纠正的。</w:t>
      </w:r>
    </w:p>
    <w:p w14:paraId="410F884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（10）其他应当撤销认证证书的。 </w:t>
      </w:r>
    </w:p>
    <w:p w14:paraId="0BED02F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7.3.2撤销认证证书后，认证机构应及时收回撤销的认证证书。若无法收回，认证机构应及时在相关媒体和网站上公布或声明撤销决定。</w:t>
      </w:r>
    </w:p>
    <w:p w14:paraId="1E987104"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7.4认证机构暂停或撤销认证证书应当在其网站上公布相关信息，同时按规定程序和要求报国家认监委。</w:t>
      </w:r>
    </w:p>
    <w:p w14:paraId="5934566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7.5认证机构应采取有效措施避免各类无效的认证证书和认证标志被继续使用。</w:t>
      </w:r>
    </w:p>
    <w:p w14:paraId="47E3B73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8认证证书要求</w:t>
      </w:r>
    </w:p>
    <w:p w14:paraId="05F86DE2"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8.1认证证书应至少包含以下信息：</w:t>
      </w:r>
    </w:p>
    <w:p w14:paraId="269C33B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（1）获证组织名称、地址和统一社会信用代码（或组织机构代码）。该信息应与其法律地位证明文件的信息一致。</w:t>
      </w:r>
    </w:p>
    <w:p w14:paraId="5178F1A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（2）质量管理体系覆盖的生产经营或服务的地址和业务范围。若认证的质量管理体系覆盖多场所，表述覆盖的相关场所的名称和地址信息。</w:t>
      </w:r>
    </w:p>
    <w:p w14:paraId="27DBB5B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（3）质量管理体系符合GB/T 19001/ISO 9001标准的表述。</w:t>
      </w:r>
    </w:p>
    <w:p w14:paraId="32D7E93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（4）证书编号。</w:t>
      </w:r>
    </w:p>
    <w:p w14:paraId="201B408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（5）认证机构名称。</w:t>
      </w:r>
    </w:p>
    <w:p w14:paraId="5087F29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 xml:space="preserve">（6）有效期的起止年月日。 </w:t>
      </w:r>
    </w:p>
    <w:p w14:paraId="0A73038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证书应注明：获证组织必须定期接受监督审核并经审核合格此证书方继续有效的提示信息。</w:t>
      </w:r>
    </w:p>
    <w:p w14:paraId="795BC0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（7）相关的认可标识及认可注册号（适用时）。</w:t>
      </w:r>
    </w:p>
    <w:p w14:paraId="4FE7EED6"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14:paraId="0FC27105"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8.2初次认证认证证书有效期最长为3年。再认证的认证证书有效期不超过最近一次有效认证证书截止期再加3年。</w:t>
      </w:r>
    </w:p>
    <w:p w14:paraId="3176882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14:paraId="2B52615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9与其他管理体系的结合审核</w:t>
      </w:r>
    </w:p>
    <w:p w14:paraId="126D1549"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9.1对质量管理体系和其他管理体系实施结合审核时，通用或共性要求应满足本规则要求，审核报告中应清晰地体现4.4条要求，并易于识别。</w:t>
      </w:r>
    </w:p>
    <w:p w14:paraId="7DD63A5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9.2结合审核的审核时间人日数，不得少于多个单独体系所需审核时间之和的80％。</w:t>
      </w:r>
    </w:p>
    <w:p w14:paraId="1E898E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10受理转换认证证书</w:t>
      </w:r>
    </w:p>
    <w:p w14:paraId="1E333F9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10.1认证机构应当履行社会责任，严禁以牟利为目的受理不符合GB/T 19001/ISO 9001标准、不能有效执行质量管理体系的组织申请认证证书的转换。</w:t>
      </w:r>
    </w:p>
    <w:p w14:paraId="2F1C4FCA"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10.2认证机构受理组织申请转换为本机构的认证证书，应该详细了解申请转换的原因，必要时进行现场审核。</w:t>
      </w:r>
    </w:p>
    <w:p w14:paraId="6C2DC57B"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10.3转换仅限于现行有效认证证书。被暂停或正在接受暂停、撤销处理的认证证书以及已失效的认证证书，不得接受转换申请。</w:t>
      </w:r>
    </w:p>
    <w:p w14:paraId="32FDFC5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10.4被发证的认证机构撤销证书的，除非该组织进行彻底整改，导致暂停或撤销认证证书的情形已消除，否则不应受理其认证申请。</w:t>
      </w:r>
    </w:p>
    <w:p w14:paraId="54C75F3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11受理组织的申诉</w:t>
      </w:r>
    </w:p>
    <w:p w14:paraId="7F9C9C3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申请组织或获证组织对认证决定有异议时，认证机构应接受申诉并且及时进行处理，在60日内将处理结果形成书面通知送交申诉人。</w:t>
      </w:r>
    </w:p>
    <w:p w14:paraId="3622D981"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14:paraId="71FF01C0"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12认证记录的管理</w:t>
      </w:r>
    </w:p>
    <w:p w14:paraId="5EF3256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12.1认证机构应当建立认证记录保持制度，记录认证活动全过程并妥善保存。</w:t>
      </w:r>
    </w:p>
    <w:p w14:paraId="30EF980C"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lastRenderedPageBreak/>
        <w:t>12.2记录应当真实准确以证实认证活动得到有效实施。记录资料应当使用中文，保存时间至少应当与认证证书有效期一致。</w:t>
      </w:r>
    </w:p>
    <w:p w14:paraId="72A8C8D7"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12.3以电子文档方式保存记录的</w:t>
      </w:r>
      <w:bookmarkStart w:id="0" w:name="OLE_LINK3"/>
      <w:bookmarkStart w:id="1" w:name="OLE_LINK4"/>
      <w:bookmarkEnd w:id="0"/>
      <w:r>
        <w:rPr>
          <w:rFonts w:ascii="方正仿宋简体" w:eastAsia="方正仿宋简体" w:hAnsi="宋体" w:cs="宋体" w:hint="eastAsia"/>
          <w:color w:val="000000"/>
          <w:kern w:val="0"/>
          <w:sz w:val="32"/>
          <w:szCs w:val="32"/>
        </w:rPr>
        <w:t>，应采用</w:t>
      </w:r>
      <w:bookmarkEnd w:id="1"/>
      <w:r>
        <w:rPr>
          <w:rFonts w:ascii="方正仿宋简体" w:eastAsia="方正仿宋简体" w:hAnsi="宋体" w:cs="宋体" w:hint="eastAsia"/>
          <w:color w:val="222222"/>
          <w:kern w:val="0"/>
          <w:sz w:val="32"/>
          <w:szCs w:val="32"/>
        </w:rPr>
        <w:t>不可编辑的电子文档格式。</w:t>
      </w:r>
    </w:p>
    <w:p w14:paraId="502DE10E"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12.4 所有具有相关人员签字的书面记录，可以制作成电子文档保存使用，但是原件必须妥善保存，保存时间至少应当与认证证书有效期一致。</w:t>
      </w:r>
    </w:p>
    <w:p w14:paraId="0B1FC728"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13其他</w:t>
      </w:r>
    </w:p>
    <w:p w14:paraId="5D2800AD"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13.1本规则内容提及GB/T 19001/ISO 9001标准时均指认证活动发生时该标准的有效版本。认证活动及认证证书中描述该标准号时，应采用当时有效版本的完整标准号。</w:t>
      </w:r>
    </w:p>
    <w:p w14:paraId="62AEE10F" w14:textId="77777777" w:rsidR="00651381" w:rsidRDefault="00000000">
      <w:pPr>
        <w:widowControl/>
        <w:spacing w:line="560" w:lineRule="atLeast"/>
        <w:ind w:firstLine="61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32"/>
          <w:szCs w:val="32"/>
        </w:rPr>
        <w:t>13.2本规则所提及的各类证明文件的复印件应是在原件上复印的，并经审核员签字确认与原件一致。</w:t>
      </w:r>
    </w:p>
    <w:p w14:paraId="69FCF216" w14:textId="77777777" w:rsidR="00651381" w:rsidRDefault="00000000">
      <w:pPr>
        <w:widowControl/>
        <w:spacing w:line="560" w:lineRule="atLeast"/>
        <w:ind w:firstLine="614"/>
        <w:jc w:val="left"/>
        <w:rPr>
          <w:rFonts w:ascii="方正仿宋简体" w:eastAsia="方正仿宋简体" w:hAnsi="宋体" w:cs="宋体" w:hint="eastAsia"/>
          <w:color w:val="222222"/>
          <w:kern w:val="0"/>
          <w:sz w:val="32"/>
          <w:szCs w:val="32"/>
        </w:rPr>
      </w:pPr>
      <w:r>
        <w:rPr>
          <w:rFonts w:ascii="方正仿宋简体" w:eastAsia="方正仿宋简体" w:hAnsi="宋体" w:cs="宋体" w:hint="eastAsia"/>
          <w:color w:val="222222"/>
          <w:kern w:val="0"/>
          <w:sz w:val="32"/>
          <w:szCs w:val="32"/>
        </w:rPr>
        <w:t>13.3 认证机构可开展质量管理体系及相关技术标准的宣贯培训，促使组织的全体员工正确理解和执行质量管理体系标准。</w:t>
      </w:r>
    </w:p>
    <w:p w14:paraId="27E01694"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5ACEE469"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4E1D7645"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5B4F2502"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064BA5CE" w14:textId="77777777" w:rsidR="00651381" w:rsidRDefault="00651381">
      <w:pPr>
        <w:widowControl/>
        <w:spacing w:line="560" w:lineRule="atLeast"/>
        <w:ind w:firstLine="614"/>
        <w:jc w:val="left"/>
        <w:rPr>
          <w:rFonts w:ascii="方正仿宋简体" w:eastAsia="方正仿宋简体" w:hAnsi="宋体" w:cs="宋体" w:hint="eastAsia"/>
          <w:color w:val="222222"/>
          <w:kern w:val="0"/>
          <w:sz w:val="32"/>
          <w:szCs w:val="32"/>
        </w:rPr>
      </w:pPr>
    </w:p>
    <w:p w14:paraId="1F248EC7" w14:textId="77777777" w:rsidR="00651381" w:rsidRDefault="00000000">
      <w:pPr>
        <w:widowControl/>
        <w:spacing w:line="469" w:lineRule="atLeast"/>
        <w:ind w:firstLine="538"/>
        <w:jc w:val="left"/>
        <w:rPr>
          <w:rFonts w:ascii="宋体" w:eastAsia="宋体" w:hAnsi="宋体" w:cs="宋体" w:hint="eastAsia"/>
          <w:color w:val="222222"/>
          <w:kern w:val="0"/>
          <w:sz w:val="27"/>
          <w:szCs w:val="27"/>
        </w:rPr>
      </w:pPr>
      <w:r>
        <w:rPr>
          <w:rFonts w:ascii="仿宋" w:eastAsia="仿宋" w:hAnsi="宋体" w:cs="宋体" w:hint="eastAsia"/>
          <w:color w:val="222222"/>
          <w:kern w:val="0"/>
          <w:sz w:val="28"/>
          <w:szCs w:val="28"/>
        </w:rPr>
        <w:lastRenderedPageBreak/>
        <w:t> </w:t>
      </w:r>
    </w:p>
    <w:p w14:paraId="588631F2" w14:textId="77777777" w:rsidR="00651381" w:rsidRDefault="00000000">
      <w:pPr>
        <w:widowControl/>
        <w:spacing w:line="469" w:lineRule="atLeast"/>
        <w:jc w:val="left"/>
        <w:rPr>
          <w:rFonts w:ascii="宋体" w:eastAsia="宋体" w:hAnsi="宋体" w:cs="宋体" w:hint="eastAsia"/>
          <w:color w:val="222222"/>
          <w:kern w:val="0"/>
          <w:sz w:val="27"/>
          <w:szCs w:val="27"/>
        </w:rPr>
      </w:pPr>
      <w:r>
        <w:rPr>
          <w:rFonts w:ascii="仿宋" w:eastAsia="仿宋" w:hAnsi="微软雅黑" w:cs="宋体" w:hint="eastAsia"/>
          <w:color w:val="222222"/>
          <w:kern w:val="0"/>
          <w:sz w:val="24"/>
          <w:szCs w:val="24"/>
        </w:rPr>
        <w:br w:type="page"/>
      </w:r>
      <w:r>
        <w:rPr>
          <w:rFonts w:ascii="黑体" w:eastAsia="黑体" w:hAnsi="宋体" w:cs="宋体" w:hint="eastAsia"/>
          <w:color w:val="222222"/>
          <w:kern w:val="0"/>
          <w:sz w:val="32"/>
          <w:szCs w:val="32"/>
        </w:rPr>
        <w:lastRenderedPageBreak/>
        <w:t>附录A</w:t>
      </w:r>
    </w:p>
    <w:p w14:paraId="2F36FFF6" w14:textId="77777777" w:rsidR="00651381" w:rsidRDefault="00000000">
      <w:pPr>
        <w:widowControl/>
        <w:snapToGrid w:val="0"/>
        <w:spacing w:line="58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44"/>
          <w:szCs w:val="44"/>
        </w:rPr>
        <w:t>质量管理体系认证审核时间要求</w:t>
      </w:r>
    </w:p>
    <w:p w14:paraId="6C063B2F" w14:textId="77777777" w:rsidR="00651381" w:rsidRDefault="00000000">
      <w:pPr>
        <w:widowControl/>
        <w:snapToGrid w:val="0"/>
        <w:spacing w:line="580" w:lineRule="atLeast"/>
        <w:jc w:val="center"/>
        <w:rPr>
          <w:rFonts w:ascii="宋体" w:eastAsia="宋体" w:hAnsi="宋体" w:cs="宋体" w:hint="eastAsia"/>
          <w:color w:val="222222"/>
          <w:kern w:val="0"/>
          <w:sz w:val="27"/>
          <w:szCs w:val="27"/>
        </w:rPr>
      </w:pPr>
      <w:r>
        <w:rPr>
          <w:rFonts w:ascii="方正小标宋简体" w:eastAsia="方正小标宋简体" w:hAnsi="宋体" w:cs="宋体" w:hint="eastAsia"/>
          <w:color w:val="222222"/>
          <w:kern w:val="0"/>
          <w:sz w:val="30"/>
          <w:szCs w:val="30"/>
        </w:rPr>
        <w:t> </w:t>
      </w:r>
    </w:p>
    <w:tbl>
      <w:tblPr>
        <w:tblW w:w="0" w:type="auto"/>
        <w:jc w:val="center"/>
        <w:tblCellMar>
          <w:left w:w="0" w:type="dxa"/>
          <w:right w:w="0" w:type="dxa"/>
        </w:tblCellMar>
        <w:tblLook w:val="04A0" w:firstRow="1" w:lastRow="0" w:firstColumn="1" w:lastColumn="0" w:noHBand="0" w:noVBand="1"/>
      </w:tblPr>
      <w:tblGrid>
        <w:gridCol w:w="1188"/>
        <w:gridCol w:w="2833"/>
        <w:gridCol w:w="1499"/>
        <w:gridCol w:w="3002"/>
      </w:tblGrid>
      <w:tr w:rsidR="00651381" w14:paraId="727254E0" w14:textId="77777777">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196A77"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1642C0"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审核时间</w:t>
            </w:r>
          </w:p>
          <w:p w14:paraId="690BB2B0"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第1阶段＋第2阶段</w:t>
            </w:r>
          </w:p>
          <w:p w14:paraId="00D2FC3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2230CE"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7277A"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黑体" w:eastAsia="黑体" w:hAnsi="宋体" w:cs="宋体" w:hint="eastAsia"/>
                <w:kern w:val="0"/>
                <w:sz w:val="24"/>
                <w:szCs w:val="24"/>
              </w:rPr>
              <w:t>审核时间</w:t>
            </w:r>
          </w:p>
          <w:p w14:paraId="6072540D" w14:textId="77777777" w:rsidR="00651381" w:rsidRDefault="00000000">
            <w:pPr>
              <w:widowControl/>
              <w:snapToGrid w:val="0"/>
              <w:spacing w:line="380" w:lineRule="atLeast"/>
              <w:ind w:right="-160"/>
              <w:jc w:val="center"/>
              <w:rPr>
                <w:rFonts w:ascii="宋体" w:eastAsia="宋体" w:hAnsi="宋体" w:cs="宋体" w:hint="eastAsia"/>
                <w:kern w:val="0"/>
                <w:sz w:val="20"/>
                <w:szCs w:val="20"/>
              </w:rPr>
            </w:pPr>
            <w:r>
              <w:rPr>
                <w:rFonts w:ascii="黑体" w:eastAsia="黑体" w:hAnsi="宋体" w:cs="宋体" w:hint="eastAsia"/>
                <w:kern w:val="0"/>
                <w:sz w:val="24"/>
                <w:szCs w:val="24"/>
              </w:rPr>
              <w:t>第1阶段＋第2阶段</w:t>
            </w:r>
          </w:p>
          <w:p w14:paraId="1D0F63BF" w14:textId="77777777" w:rsidR="00651381" w:rsidRDefault="00000000">
            <w:pPr>
              <w:widowControl/>
              <w:snapToGrid w:val="0"/>
              <w:spacing w:line="380" w:lineRule="atLeast"/>
              <w:ind w:right="-160"/>
              <w:jc w:val="center"/>
              <w:rPr>
                <w:rFonts w:ascii="宋体" w:eastAsia="宋体" w:hAnsi="宋体" w:cs="宋体" w:hint="eastAsia"/>
                <w:kern w:val="0"/>
                <w:sz w:val="20"/>
                <w:szCs w:val="20"/>
              </w:rPr>
            </w:pPr>
            <w:r>
              <w:rPr>
                <w:rFonts w:ascii="黑体" w:eastAsia="黑体" w:hAnsi="宋体" w:cs="宋体" w:hint="eastAsia"/>
                <w:kern w:val="0"/>
                <w:sz w:val="24"/>
                <w:szCs w:val="24"/>
              </w:rPr>
              <w:t>（人天）</w:t>
            </w:r>
          </w:p>
        </w:tc>
      </w:tr>
      <w:tr w:rsidR="00651381" w14:paraId="26A35E21" w14:textId="77777777">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F01F3"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A826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94297"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9C42"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12</w:t>
            </w:r>
          </w:p>
        </w:tc>
      </w:tr>
      <w:tr w:rsidR="00651381" w14:paraId="0317A218" w14:textId="77777777">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EDCC5"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86808"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BB50D"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D8BC4" w14:textId="77777777" w:rsidR="00651381" w:rsidRDefault="00000000">
            <w:pPr>
              <w:widowControl/>
              <w:snapToGrid w:val="0"/>
              <w:spacing w:line="14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13</w:t>
            </w:r>
          </w:p>
        </w:tc>
      </w:tr>
      <w:tr w:rsidR="00651381" w14:paraId="6959D408" w14:textId="77777777">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21590"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1FA8D"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5B768"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9F5DC" w14:textId="77777777" w:rsidR="00651381" w:rsidRDefault="00000000">
            <w:pPr>
              <w:widowControl/>
              <w:snapToGrid w:val="0"/>
              <w:spacing w:line="7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14</w:t>
            </w:r>
          </w:p>
        </w:tc>
      </w:tr>
      <w:tr w:rsidR="00651381" w14:paraId="6E9FB8F0" w14:textId="77777777">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283250"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F071F"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104D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4222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15</w:t>
            </w:r>
          </w:p>
        </w:tc>
      </w:tr>
      <w:tr w:rsidR="00651381" w14:paraId="010B2BB2" w14:textId="77777777">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6CFEB"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3203E"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8DB5D"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47938" w14:textId="77777777" w:rsidR="00651381" w:rsidRDefault="00000000">
            <w:pPr>
              <w:widowControl/>
              <w:snapToGrid w:val="0"/>
              <w:spacing w:line="124"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16</w:t>
            </w:r>
          </w:p>
        </w:tc>
      </w:tr>
      <w:tr w:rsidR="00651381" w14:paraId="1E8AA707" w14:textId="77777777">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7F0AE"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912B5"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FAABE"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C561C5B" w14:textId="77777777" w:rsidR="00651381" w:rsidRDefault="00000000">
            <w:pPr>
              <w:widowControl/>
              <w:snapToGrid w:val="0"/>
              <w:spacing w:line="121"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17</w:t>
            </w:r>
          </w:p>
        </w:tc>
      </w:tr>
      <w:tr w:rsidR="00651381" w14:paraId="181D9139" w14:textId="77777777">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67476"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1EA031"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46305"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7B452"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18</w:t>
            </w:r>
          </w:p>
        </w:tc>
      </w:tr>
      <w:tr w:rsidR="00651381" w14:paraId="23DC3515" w14:textId="77777777">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8EC9B"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9D94B"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91C3B3"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7F5E" w14:textId="77777777" w:rsidR="00651381" w:rsidRDefault="00000000">
            <w:pPr>
              <w:widowControl/>
              <w:snapToGrid w:val="0"/>
              <w:spacing w:line="38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19</w:t>
            </w:r>
          </w:p>
        </w:tc>
      </w:tr>
      <w:tr w:rsidR="00651381" w14:paraId="00C23FA9" w14:textId="77777777">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ED2ABD"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D72C6"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8CECD"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6324" w14:textId="77777777" w:rsidR="00651381" w:rsidRDefault="00000000">
            <w:pPr>
              <w:widowControl/>
              <w:snapToGrid w:val="0"/>
              <w:spacing w:line="115"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20</w:t>
            </w:r>
          </w:p>
        </w:tc>
      </w:tr>
      <w:tr w:rsidR="00651381" w14:paraId="2D7DB6AC" w14:textId="77777777">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F93B"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6272D"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A704"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90ABC" w14:textId="77777777" w:rsidR="00651381" w:rsidRDefault="00000000">
            <w:pPr>
              <w:widowControl/>
              <w:snapToGrid w:val="0"/>
              <w:spacing w:line="120"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21</w:t>
            </w:r>
          </w:p>
        </w:tc>
      </w:tr>
      <w:tr w:rsidR="00651381" w14:paraId="5113DCA0" w14:textId="77777777">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D5BF5F"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B8604"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10D84"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02E10" w14:textId="77777777" w:rsidR="00651381" w:rsidRDefault="00000000">
            <w:pPr>
              <w:widowControl/>
              <w:snapToGrid w:val="0"/>
              <w:spacing w:line="10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22</w:t>
            </w:r>
          </w:p>
        </w:tc>
      </w:tr>
      <w:tr w:rsidR="00651381" w14:paraId="01C6322A" w14:textId="77777777">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3C48A"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79083"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FDC25"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D26CB" w14:textId="77777777" w:rsidR="00651381" w:rsidRDefault="00000000">
            <w:pPr>
              <w:widowControl/>
              <w:snapToGrid w:val="0"/>
              <w:spacing w:line="99" w:lineRule="atLeast"/>
              <w:jc w:val="center"/>
              <w:rPr>
                <w:rFonts w:ascii="宋体" w:eastAsia="宋体" w:hAnsi="宋体" w:cs="宋体" w:hint="eastAsia"/>
                <w:kern w:val="0"/>
                <w:sz w:val="20"/>
                <w:szCs w:val="20"/>
              </w:rPr>
            </w:pPr>
            <w:r>
              <w:rPr>
                <w:rFonts w:ascii="方正仿宋简体" w:eastAsia="方正仿宋简体" w:hAnsi="宋体" w:cs="宋体" w:hint="eastAsia"/>
                <w:kern w:val="0"/>
                <w:sz w:val="24"/>
                <w:szCs w:val="24"/>
              </w:rPr>
              <w:t>遵循上述递进规律</w:t>
            </w:r>
          </w:p>
        </w:tc>
      </w:tr>
    </w:tbl>
    <w:p w14:paraId="2B7F1567" w14:textId="77777777" w:rsidR="00651381" w:rsidRDefault="00000000">
      <w:pPr>
        <w:widowControl/>
        <w:snapToGrid w:val="0"/>
        <w:spacing w:line="540" w:lineRule="atLeast"/>
        <w:ind w:left="703" w:hanging="703"/>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注：1.有效人数包括认证范围内涉及的所有人员（含每个班次的人员）。覆盖于认证</w:t>
      </w:r>
    </w:p>
    <w:p w14:paraId="4564E756" w14:textId="77777777" w:rsidR="00651381" w:rsidRDefault="00000000">
      <w:pPr>
        <w:widowControl/>
        <w:snapToGrid w:val="0"/>
        <w:spacing w:line="540" w:lineRule="atLeast"/>
        <w:ind w:left="700" w:hanging="27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范围内的非固定人员（如：承包商人员）和兼职人员也应包括在有效人数内。</w:t>
      </w:r>
    </w:p>
    <w:p w14:paraId="4B0BB3B2" w14:textId="77777777" w:rsidR="00651381" w:rsidRDefault="00000000">
      <w:pPr>
        <w:widowControl/>
        <w:snapToGrid w:val="0"/>
        <w:spacing w:line="540" w:lineRule="atLeast"/>
        <w:ind w:left="424"/>
        <w:jc w:val="left"/>
        <w:rPr>
          <w:rFonts w:ascii="宋体" w:eastAsia="宋体" w:hAnsi="宋体" w:cs="宋体" w:hint="eastAsia"/>
          <w:color w:val="222222"/>
          <w:kern w:val="0"/>
          <w:sz w:val="27"/>
          <w:szCs w:val="27"/>
        </w:rPr>
      </w:pPr>
      <w:r>
        <w:rPr>
          <w:rFonts w:ascii="方正仿宋简体" w:eastAsia="方正仿宋简体" w:hAnsi="宋体" w:cs="宋体" w:hint="eastAsia"/>
          <w:color w:val="222222"/>
          <w:kern w:val="0"/>
          <w:sz w:val="24"/>
          <w:szCs w:val="24"/>
        </w:rPr>
        <w:t>2.对非固定人员（包括季节性人员、临时人员和分包商人员）和兼职人员的有效人数核定，可根据其实际工作小时数予以适当减少或换算成等效的全职人员数。</w:t>
      </w:r>
    </w:p>
    <w:p w14:paraId="1AF98B42" w14:textId="77777777" w:rsidR="00651381" w:rsidRDefault="00000000">
      <w:pPr>
        <w:widowControl/>
        <w:spacing w:line="600" w:lineRule="atLeast"/>
        <w:rPr>
          <w:rFonts w:ascii="方正小标宋简体" w:eastAsia="方正小标宋简体" w:hAnsi="宋体" w:cs="宋体" w:hint="eastAsia"/>
          <w:color w:val="222222"/>
          <w:kern w:val="0"/>
          <w:sz w:val="44"/>
          <w:szCs w:val="44"/>
        </w:rPr>
      </w:pPr>
      <w:r>
        <w:rPr>
          <w:rFonts w:ascii="方正仿宋简体" w:eastAsia="方正仿宋简体" w:hAnsi="宋体" w:cs="宋体" w:hint="eastAsia"/>
          <w:color w:val="222222"/>
          <w:kern w:val="0"/>
          <w:sz w:val="24"/>
          <w:szCs w:val="24"/>
        </w:rPr>
        <w:t>3.组织正常工作期间（如轮班制组织）安排的审核时间可以计入有效的管理体系认证审核时间，但往返多审核场所之间所花费的时间不计入有效的管理体系认证审核时间。</w:t>
      </w:r>
    </w:p>
    <w:p w14:paraId="7260236A" w14:textId="77777777" w:rsidR="00651381" w:rsidRDefault="00651381"/>
    <w:sectPr w:rsidR="00651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F898" w14:textId="77777777" w:rsidR="00CC6782" w:rsidRDefault="00CC6782">
      <w:r>
        <w:separator/>
      </w:r>
    </w:p>
  </w:endnote>
  <w:endnote w:type="continuationSeparator" w:id="0">
    <w:p w14:paraId="55C8E7BF" w14:textId="77777777" w:rsidR="00CC6782" w:rsidRDefault="00C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CC1D" w14:textId="77777777" w:rsidR="00651381" w:rsidRDefault="006513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24CD" w14:textId="77777777" w:rsidR="00651381" w:rsidRDefault="006513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FA1F" w14:textId="77777777" w:rsidR="00CC6782" w:rsidRDefault="00CC6782">
      <w:r>
        <w:separator/>
      </w:r>
    </w:p>
  </w:footnote>
  <w:footnote w:type="continuationSeparator" w:id="0">
    <w:p w14:paraId="61E3698C" w14:textId="77777777" w:rsidR="00CC6782" w:rsidRDefault="00CC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931" w14:textId="77777777" w:rsidR="00651381" w:rsidRDefault="006513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4C79" w14:textId="77777777" w:rsidR="00651381" w:rsidRDefault="006513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M4Y2Q0ZDhiZDUyOTUyYzg1ZThmNGFhNDdjZWRjZmQifQ=="/>
  </w:docVars>
  <w:rsids>
    <w:rsidRoot w:val="006C1D86"/>
    <w:rsid w:val="00651381"/>
    <w:rsid w:val="006C1D86"/>
    <w:rsid w:val="00B37CA6"/>
    <w:rsid w:val="00C57F2F"/>
    <w:rsid w:val="00CC6782"/>
    <w:rsid w:val="00D54407"/>
    <w:rsid w:val="7A83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FDBF"/>
  <w15:docId w15:val="{BDC54355-90A2-4879-BF13-A7EFDD49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apple-style-span">
    <w:name w:val="apple-style-span"/>
    <w:basedOn w:val="a0"/>
    <w:qFormat/>
  </w:style>
  <w:style w:type="paragraph" w:customStyle="1" w:styleId="Heading11">
    <w:name w:val="Heading 11"/>
    <w:basedOn w:val="a"/>
    <w:uiPriority w:val="1"/>
    <w:qFormat/>
    <w:pPr>
      <w:ind w:left="1552"/>
      <w:outlineLvl w:val="1"/>
    </w:pPr>
    <w:rPr>
      <w:rFonts w:ascii="楷体" w:eastAsia="楷体" w:hAnsi="楷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5102</Words>
  <Characters>5511</Characters>
  <Application>Microsoft Office Word</Application>
  <DocSecurity>0</DocSecurity>
  <Lines>344</Lines>
  <Paragraphs>303</Paragraphs>
  <ScaleCrop>false</ScaleCrop>
  <Company>cnca</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cncawebser</dc:creator>
  <cp:lastModifiedBy>Neil WANG</cp:lastModifiedBy>
  <cp:revision>3</cp:revision>
  <dcterms:created xsi:type="dcterms:W3CDTF">2016-08-25T05:13:00Z</dcterms:created>
  <dcterms:modified xsi:type="dcterms:W3CDTF">2025-09-02T08:25:00Z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96E93A46E6644F72BD8C743BABD05DDF</vt:lpwstr>
  </property>
</Properties>
</file>